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Carnet complet Hypostasia sur les laboratoires habités</w:t>
      </w:r>
    </w:p>
    <w:p>
      <w:pPr>
        <w:pStyle w:val="Subtitle"/>
      </w:pPr>
      <w:r>
        <w:t>Lecture du manuscrit selon le protocole complet de simulation à blanc</w:t>
      </w:r>
    </w:p>
    <w:p>
      <w:pPr>
        <w:keepNext w:val="0"/>
      </w:pPr>
      <w:r>
        <w:t>Le carnet applique le mode A du prompt Hypostasia version 3 au manuscrit sur les Living Labs. Il établit et analyse le texte, simule une lecture collective avec six pauses, propose six abstractions, puis prépare une révision éditoriale et sa charte. Les citations du manuscrit sont réelles ; les participants, leurs échanges, leurs décisions et leurs verdicts sont fictifs. Aucune erreur n’a été volontairement plantée.</w:t>
      </w:r>
    </w:p>
    <w:p>
      <w:pPr>
        <w:keepNext w:val="0"/>
      </w:pPr>
      <w:r>
        <w:t>Pièce  Chercheurs et lecture d’article</w:t>
        <w:br/>
        <w:t>Mode  A simulation à blanc</w:t>
        <w:br/>
        <w:t>Temps imparti  Séance de 90 minutes avec six pauses de deux minutes</w:t>
      </w:r>
    </w:p>
    <w:p>
      <w:pPr>
        <w:keepNext w:val="0"/>
      </w:pPr>
      <w:r>
        <w:t>Le protocole complet comporte ici les dix rubriques prévues en mode A. La charte concerne uniquement l’organisation fictive du groupe de révision ; elle ne constitue pas une charte adoptée par les habitants d’un Living Lab. La réunion enregistrée du 6 octobre n’est pas utilisée.</w:t>
      </w:r>
    </w:p>
    <w:p>
      <w:pPr>
        <w:pStyle w:val="Heading1"/>
      </w:pPr>
      <w:r>
        <w:t>1 Distribution et fiche de la pièce</w:t>
      </w:r>
    </w:p>
    <w:tbl>
      <w:tblPr>
        <w:tblW w:type="auto" w:w="0"/>
        <w:tblLayout w:type="fixed"/>
        <w:tblLook w:firstColumn="1" w:firstRow="1" w:lastColumn="0" w:lastRow="0" w:noHBand="0" w:noVBand="1" w:val="04A0"/>
      </w:tblPr>
      <w:tblGrid>
        <w:gridCol w:w="2160"/>
        <w:gridCol w:w="7632"/>
      </w:tblGrid>
      <w:tr>
        <w:trPr>
          <w:cantSplit/>
          <w:tblHeader/>
        </w:trPr>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Champ</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Choix de préparation</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Document</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positionnement_cirad_LL-2(1).pdf fourni dans cette conversation ; version de référence, date non indiquée ; 17 pages.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Question vive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Comment définir et évaluer un laboratoire habité tout en rendant discutables ses exigences et ses effets attendus ?</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Décision attendue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Une architecture de révision du manuscrit ; une charte du groupe de révision, soumise à ses membres réels.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Trois lieux</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PDF où l’on observe ; l’atelier de lecture où l’on comprend ; la réunion éditoriale où l’on conclut. Ce sont des lieux de la simulation.</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Acteurs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 à C5, tous fictifs. C5 est non spécialiste des Living Labs. Le groupe conclut ici entre chercheurs.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Grille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trente hypostases du prompt ; la petite grille n’est pas employée.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Absents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Habitants, enfants, groupes peu visibles, institutions partenaires, autres vivants et générations futures.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Document avant la séance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Oui, comme hypothèse de préparation ; la lecture complète se fait avant la séance.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Lecture pendant la séance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U05, U16, U21, U26, U31, U36, U38, U56, U66, U73, U79, U88. Toutes les autres unités restent accessibles dans l’annexe.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Reproduction dans le carnet</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Unités choisies intégrales ; autres unités repérées par leur premier et leur dernier mot, avec leur argument principal cité et typé.</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Notifications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Oui, par écrit ; ce sont des informations de décor, sans prise de parole.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Connaissances à croiser</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manuscrit, le prompt et le manuel joints ; aucune vérification externe des références philosophiques ou empiriques.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Charte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Oui, huit articles pour le groupe de révision ; pas de version pour enfants.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Méchant de service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Non.</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Erreurs plantées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Non. Les erreurs ou limites effectivement relevées sont consignées.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Erreurs planquées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Possibles selon le prompt ; aucune intention de l’auteur n’est inférée.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Langue</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Français.</w:t>
            </w:r>
          </w:p>
        </w:tc>
      </w:tr>
    </w:tbl>
    <w:p>
      <w:pPr>
        <w:keepNext w:val="0"/>
      </w:pPr>
    </w:p>
    <w:tbl>
      <w:tblPr>
        <w:tblW w:type="auto" w:w="0"/>
        <w:tblLayout w:type="fixed"/>
        <w:tblLook w:firstColumn="1" w:firstRow="1" w:lastColumn="0" w:lastRow="0" w:noHBand="0" w:noVBand="1" w:val="04A0"/>
      </w:tblPr>
      <w:tblGrid>
        <w:gridCol w:w="1008"/>
        <w:gridCol w:w="3600"/>
        <w:gridCol w:w="5184"/>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Point d’attention</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Place dans la lecture</w:t>
            </w:r>
          </w:p>
        </w:tc>
      </w:tr>
      <w:tr>
        <w:trPr>
          <w:cantSplit/>
        </w:trPr>
        <w:tc>
          <w:tcPr>
            <w:tcW w:type="dxa" w:w="100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6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Chercheur en modélisation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instruments et leurs conditions de validité.</w:t>
            </w:r>
          </w:p>
        </w:tc>
      </w:tr>
      <w:tr>
        <w:trPr>
          <w:cantSplit/>
        </w:trPr>
        <w:tc>
          <w:tcPr>
            <w:tcW w:type="dxa" w:w="100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6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Chercheuse en démarches participatives</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distribution de l’autorité et l’exercice de l’égalité.</w:t>
            </w:r>
          </w:p>
        </w:tc>
      </w:tr>
      <w:tr>
        <w:trPr>
          <w:cantSplit/>
        </w:trPr>
        <w:tc>
          <w:tcPr>
            <w:tcW w:type="dxa" w:w="100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6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Chercheuse en évaluation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traces, les coûts et la continuité après le projet.</w:t>
            </w:r>
          </w:p>
        </w:tc>
      </w:tr>
      <w:tr>
        <w:trPr>
          <w:cantSplit/>
        </w:trPr>
        <w:tc>
          <w:tcPr>
            <w:tcW w:type="dxa" w:w="100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6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Chercheur sur les institutions</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obligations, les ressources et les autres arènes.</w:t>
            </w:r>
          </w:p>
        </w:tc>
      </w:tr>
      <w:tr>
        <w:trPr>
          <w:cantSplit/>
        </w:trPr>
        <w:tc>
          <w:tcPr>
            <w:tcW w:type="dxa" w:w="100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6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Doctorante extérieure au champ des Living Labs</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catégories, les implicites et les limites de la lecture.</w:t>
            </w:r>
          </w:p>
        </w:tc>
      </w:tr>
    </w:tbl>
    <w:p>
      <w:pPr>
        <w:keepNext w:val="0"/>
      </w:pPr>
    </w:p>
    <w:p>
      <w:pPr>
        <w:keepNext w:val="0"/>
      </w:pPr>
      <w:r>
        <w:t>Les absents sont signalés à chaque pause. Aucune parole n’est écrite en leur nom. Les cinq chercheurs ne peuvent valider la souveraineté ou les conditions d’habitabilité pour la communauté concernée.</w:t>
      </w:r>
    </w:p>
    <w:p>
      <w:pPr>
        <w:pStyle w:val="Heading1"/>
      </w:pPr>
      <w:r>
        <w:t>2 Instant de voir et établissement du texte</w:t>
      </w:r>
    </w:p>
    <w:p>
      <w:pPr>
        <w:keepNext w:val="0"/>
      </w:pPr>
      <w:r>
        <w:t>Le texte a été extrait du PDF de référence dans son ordre. Les retours de ligne et espacements de mise en page ont été normalisés ; les mots, les temps et les modes verbaux des citations ont été conservés. Les titres internes sont traités comme des titres, pas comme des arguments. Le découpage n’ajoute ni passage ni attribution.</w:t>
      </w:r>
    </w:p>
    <w:p>
      <w:pPr>
        <w:keepNext w:val="0"/>
      </w:pPr>
      <w:r>
        <w:t>Le PDF comprend environ 8,018 mots selon le comptage de l’extraction, soit environ 61.7 minutes de lecture à voix haute. Le corps argumentatif est découpé en 92 unités, de 19 à 120 mots. Une unité tient donc en moins d’une minute à 130 mots par minute. Les douze unités choisies totalisent 1144 mots, soit environ 8.8 minutes ; elles tiennent dans les 14 minutes prévues pour l’instant de voir.</w:t>
      </w:r>
    </w:p>
    <w:p>
      <w:pPr>
        <w:keepNext w:val="0"/>
      </w:pPr>
      <w:r>
        <w:t>La phrase « Les lab ainsi pensés permettant ainsi de produire un essai commun. » est grammaticalement inachevée dans le document. Les formulations « viens questionner », « sujets enquêté » ou « discuter à dans » sont également conservées dans les citations concernées. Elles sont signalées comme formulations à réviser, sans compléter leur sens. Les noms des auteurs ne sont pas réattribués et aucune ligature manquante n’a été rétablie dans les citations retenues.</w:t>
      </w:r>
    </w:p>
    <w:p>
      <w:pPr>
        <w:pStyle w:val="Heading2"/>
      </w:pPr>
      <w:r>
        <w:t>Contrôle du cadre formel</w:t>
      </w:r>
    </w:p>
    <w:p>
      <w:pPr>
        <w:keepNext w:val="0"/>
      </w:pPr>
      <w:r>
        <w:t>La table du prompt contient trente hypostases, six groupes de cinq et trente croisements différents. Aucun croisement ne porte le même raisonnement des deux côtés. Les lignes domaine et loi suivent la version 3. Le manuscrit ne présente pas de table concurrente à comparer. Les typages proposés sont contrôlés contre cette table ; aucune hypostase supplémentaire n’est créée.</w:t>
      </w:r>
    </w:p>
    <w:tbl>
      <w:tblPr>
        <w:tblW w:type="auto" w:w="0"/>
        <w:tblLayout w:type="fixed"/>
        <w:tblLook w:firstColumn="1" w:firstRow="1" w:lastColumn="0" w:lastRow="0" w:noHBand="0" w:noVBand="1" w:val="04A0"/>
      </w:tblPr>
      <w:tblGrid>
        <w:gridCol w:w="1800"/>
        <w:gridCol w:w="3960"/>
        <w:gridCol w:w="4032"/>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Hypostase</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Non réfuté par</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Non prouvé par</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classification</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aporie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approximation</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paradoxe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formalisme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événement</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variation</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dimension</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mode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croyance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invariant</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valeur</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structure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axiome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conjecture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paradigme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objet</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domaine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loi</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phénomène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variable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variance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indice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donnée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formelle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définition</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déduction empirique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théorie</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abduction formelle</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induction formelle</w:t>
            </w:r>
          </w:p>
        </w:tc>
      </w:tr>
    </w:tbl>
    <w:p>
      <w:pPr>
        <w:keepNext w:val="0"/>
      </w:pPr>
    </w:p>
    <w:p>
      <w:pPr>
        <w:keepNext w:val="0"/>
      </w:pPr>
      <w:r>
        <w:t>Abréviations de l’annexe  IE induction empirique ; DE déduction empirique ; IF induction formelle ; DF déduction formelle ; AE abduction empirique ; AF abduction formelle. NR indique non réfuté par ; NP indique non prouvé par. Les deux qualifications sont conservées pour chaque argument.</w:t>
      </w:r>
    </w:p>
    <w:p>
      <w:pPr>
        <w:pStyle w:val="Heading2"/>
      </w:pPr>
      <w:r>
        <w:t>Erreurs possibles et tensions à éprouver</w:t>
      </w:r>
    </w:p>
    <w:p>
      <w:pPr>
        <w:pStyle w:val="Heading3"/>
      </w:pPr>
      <w:r>
        <w:t>E1 U26</w:t>
      </w:r>
    </w:p>
    <w:p>
      <w:pPr>
        <w:keepNext w:val="0"/>
      </w:pPr>
      <w:r>
        <w:rPr>
          <w:i/>
        </w:rPr>
        <w:t>« Il n’y a donc plus de frein à réagir à la connaissance produite par les uns ou pas les autres car elle est le fruit de discussion, concertation délibération qui produisent un cheminement collectif de pensée et d’action. »</w:t>
      </w:r>
    </w:p>
    <w:p>
      <w:pPr>
        <w:keepNext w:val="0"/>
      </w:pPr>
      <w:r>
        <w:t>Une affirmation de disparition des freins dépasse ce que le texte établit.</w:t>
      </w:r>
    </w:p>
    <w:p>
      <w:pPr>
        <w:keepNext w:val="0"/>
      </w:pPr>
      <w:r>
        <w:t>Épreuve  Déduction empirique : un frein subsistant malgré les conditions annoncées constituerait un contre-exemple ; la situation doit être observée.</w:t>
      </w:r>
    </w:p>
    <w:p>
      <w:pPr>
        <w:pStyle w:val="Heading3"/>
      </w:pPr>
      <w:r>
        <w:t>E2 U15</w:t>
      </w:r>
    </w:p>
    <w:p>
      <w:pPr>
        <w:keepNext w:val="0"/>
      </w:pPr>
      <w:r>
        <w:rPr>
          <w:i/>
        </w:rPr>
        <w:t>« En reconnaissant l'égalité fondamentale des intelligences, le Living Lab se transforme d'un dispositif de validation descendante à une infrastructure souveraine, où la trajectoire du groupe, et non le seul résultat escompté, devient le véritable gage de réussite. »</w:t>
      </w:r>
    </w:p>
    <w:p>
      <w:pPr>
        <w:keepNext w:val="0"/>
      </w:pPr>
      <w:r>
        <w:t>Le passage présente la transformation du dispositif comme acquise après reconnaissance de l’égalité.</w:t>
      </w:r>
    </w:p>
    <w:p>
      <w:pPr>
        <w:keepNext w:val="0"/>
      </w:pPr>
      <w:r>
        <w:t>Épreuve  Comparaison de situations : distinguer l’axiome reconnu de la redistribution effectivement constatée ; la causalité reste ouverte.</w:t>
      </w:r>
    </w:p>
    <w:p>
      <w:pPr>
        <w:pStyle w:val="Heading3"/>
      </w:pPr>
      <w:r>
        <w:t>E3 U56 et U73</w:t>
      </w:r>
    </w:p>
    <w:p>
      <w:pPr>
        <w:keepNext w:val="0"/>
      </w:pPr>
      <w:r>
        <w:rPr>
          <w:i/>
        </w:rPr>
        <w:t>« En permettant de mettre en lien cette vision systémique avec les forces motrices du territoire, ces outils structurent une dynamique en deux temps : une phase d’initialisation, indispensable pour construire un langage commun, établir une arène de confiance et identifier les leviers d’action, puis une seconde phase dédiée à la prise de décision et au passage à l’acte. »</w:t>
      </w:r>
    </w:p>
    <w:p>
      <w:pPr>
        <w:keepNext w:val="0"/>
      </w:pPr>
      <w:r>
        <w:t>Deux temps sont présentés dans un passage, des fonctions non successives dans un autre.</w:t>
      </w:r>
    </w:p>
    <w:p>
      <w:pPr>
        <w:keepNext w:val="0"/>
      </w:pPr>
      <w:r>
        <w:t>Épreuve  Analyse formelle des niveaux : une initialisation et des reprises peuvent coexister. Il faut expliciter leur articulation avant de conclure à une contradiction.</w:t>
      </w:r>
    </w:p>
    <w:p>
      <w:pPr>
        <w:pStyle w:val="Heading3"/>
      </w:pPr>
      <w:r>
        <w:t>E4 U31 et U36</w:t>
      </w:r>
    </w:p>
    <w:p>
      <w:pPr>
        <w:keepNext w:val="0"/>
      </w:pPr>
      <w:r>
        <w:rPr>
          <w:i/>
        </w:rPr>
        <w:t>« Le laboratoire habité doit tenir ensemble la souveraineté du collectif sur le problème et l’exigence méthodologique de l’enquête située. »</w:t>
      </w:r>
    </w:p>
    <w:p>
      <w:pPr>
        <w:keepNext w:val="0"/>
      </w:pPr>
      <w:r>
        <w:t>Le collectif est souverain sur le problème tandis que le chercheur garantit la qualité de l’enquête.</w:t>
      </w:r>
    </w:p>
    <w:p>
      <w:pPr>
        <w:keepNext w:val="0"/>
      </w:pPr>
      <w:r>
        <w:t>Épreuve  Clarifier les objets de l’autorité et le traitement d’un désaccord sur le protocole. Une tension n’est pas une contradiction démontrée.</w:t>
      </w:r>
    </w:p>
    <w:p>
      <w:pPr>
        <w:pStyle w:val="Heading3"/>
      </w:pPr>
      <w:r>
        <w:t>E5 U54 et U55</w:t>
      </w:r>
    </w:p>
    <w:p>
      <w:pPr>
        <w:keepNext w:val="0"/>
      </w:pPr>
      <w:r>
        <w:rPr>
          <w:i/>
        </w:rPr>
        <w:t>« Une carte, un modèle, une frise, un jeu, un capteur ne sont jamais de simples intermédiaires entre un monde déjà constitué et ceux qui chercheraient à le connaître. »</w:t>
      </w:r>
    </w:p>
    <w:p>
      <w:pPr>
        <w:keepNext w:val="0"/>
      </w:pPr>
      <w:r>
        <w:t>Des outils sont dits agnostiques et non prescriptifs, mais participent au cadrage.</w:t>
      </w:r>
    </w:p>
    <w:p>
      <w:pPr>
        <w:keepNext w:val="0"/>
      </w:pPr>
      <w:r>
        <w:t>Épreuve  Comparer les questions rendues visibles par deux instruments. Non prescriptif peut désigner un usage ouvert ; cela n’établit pas la neutralité.</w:t>
      </w:r>
    </w:p>
    <w:p>
      <w:pPr>
        <w:pStyle w:val="Heading3"/>
      </w:pPr>
      <w:r>
        <w:t>E6 U07</w:t>
      </w:r>
    </w:p>
    <w:p>
      <w:pPr>
        <w:keepNext w:val="0"/>
      </w:pPr>
      <w:r>
        <w:rPr>
          <w:i/>
        </w:rPr>
        <w:t>« Le problème n’est donc pas l’expérimentation en situation réelle en elle-même, les fermes écoles de la FAO dans les années 1980 l'avaient déjà montré. »</w:t>
      </w:r>
    </w:p>
    <w:p>
      <w:pPr>
        <w:keepNext w:val="0"/>
      </w:pPr>
      <w:r>
        <w:t>L’affirmation historique sur les fermes écoles n’est pas accompagnée d’une source précise.</w:t>
      </w:r>
    </w:p>
    <w:p>
      <w:pPr>
        <w:keepNext w:val="0"/>
      </w:pPr>
      <w:r>
        <w:t>Épreuve  Contrôler une référence primaire historique avant de la mobiliser comme appui ; aucune erreur historique n’est affirmée ici.</w:t>
      </w:r>
    </w:p>
    <w:p>
      <w:pPr>
        <w:pStyle w:val="Heading3"/>
      </w:pPr>
      <w:r>
        <w:t>E7 U69 et U88</w:t>
      </w:r>
    </w:p>
    <w:p>
      <w:pPr>
        <w:keepNext w:val="0"/>
      </w:pPr>
      <w:r>
        <w:rPr>
          <w:i/>
        </w:rPr>
        <w:t>« Le principal résultat d’un laboratoire habité pourrait alors être moins une solution qu’une trajectoire devenue consciente d’elle-même. »</w:t>
      </w:r>
    </w:p>
    <w:p>
      <w:pPr>
        <w:keepNext w:val="0"/>
      </w:pPr>
      <w:r>
        <w:t>Les effets réflexifs et les apprentissages entre Living Labs restent proposés.</w:t>
      </w:r>
    </w:p>
    <w:p>
      <w:pPr>
        <w:keepNext w:val="0"/>
      </w:pPr>
      <w:r>
        <w:t>Épreuve  Suivre des traces et leurs reprises ailleurs ; préserver le conditionnel, sans transformer une conjecture en résultat.</w:t>
      </w:r>
    </w:p>
    <w:p>
      <w:pPr>
        <w:pStyle w:val="Heading3"/>
      </w:pPr>
      <w:r>
        <w:t>E8 Métadonnées et bibliographie</w:t>
      </w:r>
    </w:p>
    <w:p>
      <w:pPr>
        <w:keepNext w:val="0"/>
      </w:pPr>
      <w:r>
        <w:rPr>
          <w:i/>
        </w:rPr>
        <w:t>« A soumettre dans : Environmental Science &amp; Policy (IP 5.5) ou Humanities &amp; Social Sciences Communications? (IP 4.8). »</w:t>
      </w:r>
    </w:p>
    <w:p>
      <w:pPr>
        <w:keepNext w:val="0"/>
      </w:pPr>
      <w:r>
        <w:t>Les indices de revue ne sont pas sourcés ; la bibliographie est annoncée à compléter.</w:t>
      </w:r>
    </w:p>
    <w:p>
      <w:pPr>
        <w:keepNext w:val="0"/>
      </w:pPr>
      <w:r>
        <w:t>Épreuve  Vérifier les métadonnées pour une soumission ultérieure. Elles n’entrent pas dans la preuve de la thèse et n’ont pas été contrôlées ici.</w:t>
      </w:r>
    </w:p>
    <w:p>
      <w:pPr>
        <w:keepNext w:val="0"/>
      </w:pPr>
      <w:r>
        <w:t>Fausses alertes évitées  La persistance des asymétries ne réfute pas à elle seule une égalité de légitimité. Des fonctions récursives n’interdisent pas nécessairement un travail initial d’équipement. Le retrait des chercheurs ne signifie pas une indépendance totale : U38 le précise. Aucune de ces trois tensions n’est déclarée comme erreur certaine.</w:t>
      </w:r>
    </w:p>
    <w:p>
      <w:pPr>
        <w:pStyle w:val="Heading2"/>
      </w:pPr>
      <w:r>
        <w:t>Explications à préparer avec les spécialistes</w:t>
      </w:r>
    </w:p>
    <w:p>
      <w:pPr>
        <w:pStyle w:val="Heading3"/>
      </w:pPr>
      <w:r>
        <w:t>Souveraineté</w:t>
      </w:r>
    </w:p>
    <w:p>
      <w:pPr>
        <w:keepNext w:val="0"/>
      </w:pPr>
      <w:r>
        <w:t>Dans ce manuscrit, elle concerne les possibilités de définir, réorienter, interpréter et porter le problème. Elle ne dispense pas de préciser les responsabilités sur la validité des instruments. Appui  U05, U17, U31, U36.</w:t>
      </w:r>
    </w:p>
    <w:p>
      <w:pPr>
        <w:pStyle w:val="Heading3"/>
      </w:pPr>
      <w:r>
        <w:t>Égalité</w:t>
      </w:r>
    </w:p>
    <w:p>
      <w:pPr>
        <w:keepNext w:val="0"/>
      </w:pPr>
      <w:r>
        <w:t>Le texte pose une égalité de légitimité à discuter, distincte d’une identité de situations, de savoirs ou de ressources. Appui  U16, U24, U25.</w:t>
      </w:r>
    </w:p>
    <w:p>
      <w:pPr>
        <w:pStyle w:val="Heading3"/>
      </w:pPr>
      <w:r>
        <w:t>Habitabilité</w:t>
      </w:r>
    </w:p>
    <w:p>
      <w:pPr>
        <w:keepNext w:val="0"/>
      </w:pPr>
      <w:r>
        <w:t>Le texte rapporte la possibilité de vivre dignement aux relations et dépendances au milieu. Son application demande de préciser pour qui, avec quelles limites et quels dommages. Appui  U21 à U23, U92.</w:t>
      </w:r>
    </w:p>
    <w:p>
      <w:pPr>
        <w:pStyle w:val="Heading3"/>
      </w:pPr>
      <w:r>
        <w:t>Rhizome</w:t>
      </w:r>
    </w:p>
    <w:p>
      <w:pPr>
        <w:keepNext w:val="0"/>
      </w:pPr>
      <w:r>
        <w:t>Le manuscrit emploie cette image pour des reprises et connexions sans monopole d’un savoir sur le problème. L’image ne démontre pas les effets du dispositif. Appui  U17, U20.</w:t>
      </w:r>
    </w:p>
    <w:p>
      <w:pPr>
        <w:pStyle w:val="Heading3"/>
      </w:pPr>
      <w:r>
        <w:t>Équipement sans prescription</w:t>
      </w:r>
    </w:p>
    <w:p>
      <w:pPr>
        <w:keepNext w:val="0"/>
      </w:pPr>
      <w:r>
        <w:t>L’usage des cartes, modèles ou mesures doit pouvoir être discuté et réorienté ; le texte reconnaît que ces instruments contribuent au cadrage. Appui  U54 à U68.</w:t>
      </w:r>
    </w:p>
    <w:p>
      <w:pPr>
        <w:pStyle w:val="Heading3"/>
      </w:pPr>
      <w:r>
        <w:t>Déprise</w:t>
      </w:r>
    </w:p>
    <w:p>
      <w:pPr>
        <w:keepNext w:val="0"/>
      </w:pPr>
      <w:r>
        <w:t>La dépendance envers l’équipe initiale diminue ; la possibilité de continuer avec d’autres appuis demeure. Appui  U38.</w:t>
      </w:r>
    </w:p>
    <w:p>
      <w:pPr>
        <w:pStyle w:val="Heading3"/>
      </w:pPr>
      <w:r>
        <w:t>Hypostase</w:t>
      </w:r>
    </w:p>
    <w:p>
      <w:pPr>
        <w:keepNext w:val="0"/>
      </w:pPr>
      <w:r>
        <w:t>Dans le prompt, elle est un croisement de raisonnements non réfutant et non prouvant. Le typage proposé doit être relu ; il ne démontre ni vérité ni nouveauté. Appui  Prompt section 2.</w:t>
      </w:r>
    </w:p>
    <w:p>
      <w:pPr>
        <w:pStyle w:val="Heading3"/>
      </w:pPr>
      <w:r>
        <w:t>Diagonalisation</w:t>
      </w:r>
    </w:p>
    <w:p>
      <w:pPr>
        <w:keepNext w:val="0"/>
      </w:pPr>
      <w:r>
        <w:t>Le prompt demande un terme d’abstraction qui n’est pas un élément du groupe d’arguments. Il ne fournit pas ici un algorithme déterministe certifiant la nouveauté. Appui  Prompt section 4.</w:t>
      </w:r>
    </w:p>
    <w:p>
      <w:pPr>
        <w:pStyle w:val="Heading1"/>
      </w:pPr>
      <w:r>
        <w:t>3 Temps pour comprendre et six pauses simulées</w:t>
      </w:r>
    </w:p>
    <w:p>
      <w:pPr>
        <w:keepNext w:val="0"/>
      </w:pPr>
      <w:r>
        <w:t>Toutes les paroles D01 à D30 qui suivent sont inventées pour préparer une séance. Elles ne sont pas attribuées à des personnes réelles ni empruntées à la réunion du 6 octobre. Les chercheurs commencent par reprendre des formulations de la synthèse précédente, puis apportent leurs objections et distinctions. Hypostasia ne parle qu’aux pauses ; les notifications sont écrites.</w:t>
      </w:r>
    </w:p>
    <w:p>
      <w:pPr>
        <w:pStyle w:val="Heading2"/>
      </w:pPr>
      <w:r>
        <w:t>Séquence 1 avant la pause</w:t>
      </w:r>
    </w:p>
    <w:p>
      <w:pPr>
        <w:keepNext w:val="0"/>
      </w:pPr>
      <w:r>
        <w:t>D01 C1  « Je reprends le « droit collectif de révision » proposé dans la première synthèse. Pour moi, il donne une bonne entrée au texte, mais il faut savoir ce qu’une révision peut changer dans un protocole. »</w:t>
      </w:r>
    </w:p>
    <w:p>
      <w:pPr>
        <w:keepNext w:val="0"/>
      </w:pPr>
      <w:r>
        <w:t>D02 C2  « Je suis d’accord pour reconnaître la légitimité de chacun à formuler une objection. Je garde ouverte la question de son traitement : qui répond, dans quel délai, et que se passe-t-il lorsque le chercheur refuse ? »</w:t>
      </w:r>
    </w:p>
    <w:p>
      <w:pPr>
        <w:keepNext w:val="0"/>
      </w:pPr>
      <w:r>
        <w:t>D03 C3  « Je partage ce point de départ sur la légitimité. Une objection sans effet peut être un résultat à documenter. Nous ne devrions pas définir d’avance la réussite comme une modification systématique du protocole. »</w:t>
      </w:r>
    </w:p>
    <w:p>
      <w:pPr>
        <w:keepNext w:val="0"/>
      </w:pPr>
      <w:r>
        <w:t>D04 C4  « Même accord sur la légitimité. Les obligations envers les financeurs ou les institutions peuvent limiter une révision. Le manuscrit doit rendre ces limites discutables plutôt que les faire disparaître. »</w:t>
      </w:r>
    </w:p>
    <w:p>
      <w:pPr>
        <w:keepNext w:val="0"/>
      </w:pPr>
      <w:r>
        <w:t>D05 C5  « Je ne conteste pas cette légitimité de départ. Mais l’égalité affirmée ne m’apprend pas comment prendre la parole quand d’autres maîtrisent les instruments. Je voudrais que cette différence reste visible. »</w:t>
      </w:r>
    </w:p>
    <w:p>
      <w:pPr>
        <w:keepNext w:val="0"/>
      </w:pPr>
      <w:r>
        <w:rPr>
          <w:sz w:val="20"/>
        </w:rPr>
        <w:t>Notification écrite de décor  « La participation peut être réelle sans que soient nécessairement redistribués le pouvoir de définir le problème, de choisir ce qui mérite d’être observé, de modifier le protocole ou d’interpréter les résultats. » → hypothèse ; non réfuté par abduction formelle ; non prouvé par induction empirique ; discuté dans l’analyse du manuscrit.</w:t>
      </w:r>
    </w:p>
    <w:p>
      <w:pPr>
        <w:pStyle w:val="Heading2"/>
      </w:pPr>
      <w:r>
        <w:t>Pause 1 S1 Une constitution de l’enquête</w:t>
      </w:r>
    </w:p>
    <w:p>
      <w:pPr>
        <w:keepNext/>
      </w:pPr>
      <w:r>
        <w:rPr>
          <w:sz w:val="20"/>
        </w:rPr>
        <w:t>Intervention Hypostasia  210 mots ; environ 1.6 minute de lecture estimée.</w:t>
      </w:r>
    </w:p>
    <w:p>
      <w:pPr>
        <w:keepNext w:val="0"/>
      </w:pPr>
      <w:r>
        <w:t>Rôle chœur. S1 Une constitution de l’enquête. La souveraineté sur l’expérimentation peut être pensée comme une constitution de l’enquête : une distribution explicite des droits de poser une question, de demander une vérification et de modifier ce qui sera fait. Le point décisif apparaît au moment où une objection rencontre un protocole déjà engagé. Sa possibilité de produire une révision donne une consistance pratique à l’égalité affirmée au départ.</w:t>
        <w:br/>
        <w:br/>
        <w:t>Cette abstraction rapproche les passages sur la légitimité des participants, la dépossession du chercheur et l’erreur qui déplace la problématisation. Elle conduit à examiner les règles qui organisent les désaccords, y compris lorsque chercheurs et habitants divergent sur ce qu’il convient d’essayer. Le laboratoire habité pourrait ainsi se reconnaître à une autorité devenue révisable, dont les conditions d’exercice sont accessibles aux personnes concernées. Cette possibilité reste à documenter dans les décisions effectives, avec les refus et les bifurcations qui les accompagnent.</w:t>
        <w:br/>
        <w:t>Appuis : U05, U16, U17, U19, U31, U36 ; A2, A3, A5.</w:t>
        <w:br/>
        <w:t>Exemple consensuel dans la fiction : D02 à D05 : accord fictif sur la légitimité à objecter.</w:t>
        <w:br/>
        <w:t>Exemple discuté dans la fiction : D02 : le traitement d’un refus du chercheur reste discuté.</w:t>
        <w:br/>
        <w:t>Pas encore entendus dans cette simulation : les habitants qui devraient pouvoir demander une révision.</w:t>
      </w:r>
    </w:p>
    <w:p>
      <w:pPr>
        <w:pStyle w:val="Heading3"/>
      </w:pPr>
      <w:r>
        <w:t>Annotations et verdicts fictifs de la pause 1</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droit de révision était déjà présent dans la première synthèse.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constitution invite à préciser le traitement des refus.</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Séquence 2 avant la pause</w:t>
      </w:r>
    </w:p>
    <w:p>
      <w:pPr>
        <w:keepNext w:val="0"/>
      </w:pPr>
      <w:r>
        <w:t>D06 C2  « La formule « frontières révisables de la communauté » reprend bien la question des dépendances. Je l’adopte comme repère, mais nous n’avons ici aucune parole des personnes auxquelles nous faisons référence. »</w:t>
      </w:r>
    </w:p>
    <w:p>
      <w:pPr>
        <w:keepNext w:val="0"/>
      </w:pPr>
      <w:r>
        <w:t>D07 C5  « Je suis d’accord pour signaler cette absence. Quand nous introduisons les poissons ou les générations futures, qui pourra vérifier notre manière de les représenter ? »</w:t>
      </w:r>
    </w:p>
    <w:p>
      <w:pPr>
        <w:keepNext w:val="0"/>
      </w:pPr>
      <w:r>
        <w:t>D08 C1  « Même accord : un indicateur ne parle pas tout seul. Nous pouvons expliciter sa construction et ses limites, mais une autre observation pourrait déplacer la question. »</w:t>
      </w:r>
    </w:p>
    <w:p>
      <w:pPr>
        <w:keepNext w:val="0"/>
      </w:pPr>
      <w:r>
        <w:t>D09 C3  « Je partage ce constat. Il faudrait conserver la trace des dépendances que notre première sélection a laissées de côté. Le désaccord sur cette sélection doit rester une possibilité. »</w:t>
      </w:r>
    </w:p>
    <w:p>
      <w:pPr>
        <w:keepNext w:val="0"/>
      </w:pPr>
      <w:r>
        <w:t>D10 C4  « Pas d’objection sur l’absence de ces voix. Une institution présente ne représente pas automatiquement tous ceux qui subiront la décision. La question du mandat reste ouverte. »</w:t>
      </w:r>
    </w:p>
    <w:p>
      <w:pPr>
        <w:keepNext w:val="0"/>
      </w:pPr>
      <w:r>
        <w:rPr>
          <w:sz w:val="20"/>
        </w:rPr>
        <w:t>Notification écrite de décor  « Il est un milieu habité, c’est-à-dire un ensemble de relations, de dépendances et d’attachements qui rendent possibles certaines formes de vie. » → définition ; non réfuté par abduction formelle ; non prouvé par abduction empirique ; discuté dans l’analyse du manuscrit.</w:t>
      </w:r>
    </w:p>
    <w:p>
      <w:pPr>
        <w:pStyle w:val="Heading2"/>
      </w:pPr>
      <w:r>
        <w:t>Pause 2 S2 Une représentation tenue de répondre</w:t>
      </w:r>
    </w:p>
    <w:p>
      <w:pPr>
        <w:keepNext/>
      </w:pPr>
      <w:r>
        <w:rPr>
          <w:sz w:val="20"/>
        </w:rPr>
        <w:t>Intervention Hypostasia  224 mots ; environ 1.7 minute de lecture estimée.</w:t>
      </w:r>
    </w:p>
    <w:p>
      <w:pPr>
        <w:keepNext w:val="0"/>
      </w:pPr>
      <w:r>
        <w:t>Rôle chœur. S2 Une représentation tenue de répondre. Définir la communauté par les dépendances au milieu fait entrer dans l’enquête des personnes absentes, des générations futures et des vivants qui ne participent pas à la discussion selon les mêmes modalités. Leur prise en considération passe nécessairement par des médiations : observations, récits, instruments ou représentants. Ces médiations influencent ce qui devient important pour le collectif.</w:t>
        <w:br/>
        <w:br/>
        <w:t>L’abstraction proposée est celle d’une représentation tenue de répondre. Quiconque rend une dépendance visible devrait pouvoir expliciter ce qui l’autorise à l’introduire, ce qu’il en sait et ce qui lui échappe. Une représentation reste ainsi ouverte à d’autres observations et à la contestation. Cette lecture relie l’habitabilité, les frontières mobiles du collectif et la responsabilité de ne pas parler à la place des autres. Elle déplace l’attention vers les conditions de représentation : qui peut les questionner, comment une nouvelle sollicitation entre dans l’enquête, et comment elle peut en modifier le périmètre.</w:t>
        <w:br/>
        <w:t>Appuis : U21, U22, U23, U24, U25, U40, U41, U92 ; A3, A4, A13.</w:t>
        <w:br/>
        <w:t>Exemple consensuel dans la fiction : D06 à D10 : accord fictif pour signaler l’absence de voix habitantes.</w:t>
        <w:br/>
        <w:t>Exemple discuté dans la fiction : D07 et D10 : les conditions de représentation restent discutées.</w:t>
        <w:br/>
        <w:t>Pas encore entendus : les personnes absentes et les modalités par lesquelles les autres vivants seraient pris en considération.</w:t>
      </w:r>
    </w:p>
    <w:p>
      <w:pPr>
        <w:pStyle w:val="Heading3"/>
      </w:pPr>
      <w:r>
        <w:t>Annotations et verdicts fictifs de la pause 2</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représentation devient elle-même un objet dont on demande compte.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manuscrit demandait déjà de rendre visible ce qui reste hors champ.</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Séquence 3 avant la pause</w:t>
      </w:r>
    </w:p>
    <w:p>
      <w:pPr>
        <w:keepNext w:val="0"/>
      </w:pPr>
      <w:r>
        <w:t>D11 C1  « La contestabilité des instruments me paraît utile. Je souhaite pourtant maintenir la distinction entre une objection au choix de ce que nous mesurons et une objection à la validité de la mesure. »</w:t>
      </w:r>
    </w:p>
    <w:p>
      <w:pPr>
        <w:keepNext w:val="0"/>
      </w:pPr>
      <w:r>
        <w:t>D12 C2  « Je partage cette distinction. Je corrige aussi le typage antérieur d’A4 : « doit tenir ensemble » pose une exigence, mais cette phrase seule ne décrit pas une procédure. Le type méthode doit être appuyé sur d’autres passages. »</w:t>
      </w:r>
    </w:p>
    <w:p>
      <w:pPr>
        <w:keepNext w:val="0"/>
      </w:pPr>
      <w:r>
        <w:t>D13 C3  « Je suis d’accord pour garder cette distinction et pour revenir au type principe sur cette phrase. La transmission d’un capteur n’établit pas encore sa disponibilité, son entretien ni sa possibilité d’être contesté. »</w:t>
      </w:r>
    </w:p>
    <w:p>
      <w:pPr>
        <w:keepNext w:val="0"/>
      </w:pPr>
      <w:r>
        <w:t>D14 C4  « Même accord. Et l’instrument est lui-même un choix de cadrage. Une objection à son emplacement peut être pertinente sans rendre sa calibration fausse. »</w:t>
      </w:r>
    </w:p>
    <w:p>
      <w:pPr>
        <w:keepNext w:val="0"/>
      </w:pPr>
      <w:r>
        <w:t>D15 C5  « Je ne conteste ni cette distinction ni la correction. Il faudrait que le manuscrit permette au lecteur de reconnaître les deux objets du désaccord, au lieu de les réunir sous le seul mot contestation. »</w:t>
      </w:r>
    </w:p>
    <w:p>
      <w:pPr>
        <w:keepNext w:val="0"/>
      </w:pPr>
      <w:r>
        <w:rPr>
          <w:sz w:val="20"/>
        </w:rPr>
        <w:t>Notification écrite de décor  « La connaissance n’est pas agissante parce qu’elle serait définitivement vraie, mais parce qu’elle peut être reliée, discutée, éprouvée et contestée. » → théorie ; non réfuté par abduction formelle ; non prouvé par induction formelle ; discuté dans l’analyse du manuscrit.</w:t>
      </w:r>
    </w:p>
    <w:p>
      <w:pPr>
        <w:pStyle w:val="Heading2"/>
      </w:pPr>
      <w:r>
        <w:t>Pause 3 S3 La réciprocité de l’épreuve</w:t>
      </w:r>
    </w:p>
    <w:p>
      <w:pPr>
        <w:keepNext/>
      </w:pPr>
      <w:r>
        <w:rPr>
          <w:sz w:val="20"/>
        </w:rPr>
        <w:t>Intervention Hypostasia  223 mots ; environ 1.7 minute de lecture estimée.</w:t>
      </w:r>
    </w:p>
    <w:p>
      <w:pPr>
        <w:keepNext w:val="0"/>
      </w:pPr>
      <w:r>
        <w:t>Rôle chœur. S3 La réciprocité de l’épreuve. Les connaissances ne rencontrent pas seulement l’épreuve d’un protocole. Elles rencontrent aussi des usages, des observations et des conséquences qui peuvent obliger à reprendre la manière de mesurer ou de formuler le problème. Réciproquement, une expérience vécue gagne de nouvelles possibilités de discussion lorsqu’elle peut être documentée, comparée et mise à l’épreuve.</w:t>
        <w:br/>
        <w:br/>
        <w:t>Cette réciprocité relie l’exigence scientifique aux capacités d’enquête des habitants. Elle demande de conserver les conditions de validité propres aux savoirs, tout en rendant discutable la sélection de ce qui mérite d’être observé. Le chercheur peut alors répondre de la qualité d’une mesure sans détenir seul l’autorité sur la question. Les instruments deviennent des moyens de reprendre les preuves et leurs limites. Leur effet politique tient notamment à la possibilité, pour ceux qui dépendent du milieu, de questionner les institutions qui produisent des connaissances à son sujet et d’obtenir des réponses aux objections qu’ils formulent.</w:t>
        <w:br/>
        <w:t>Appuis : U29, U31, U36, U55, U65, U66, U67, U76, U77 ; A5, A6, A7, A9.</w:t>
        <w:br/>
        <w:t>Exemple consensuel dans la fiction : D11 à D15 : accord fictif sur les deux objets possibles de l’objection.</w:t>
        <w:br/>
        <w:t>Exemple discuté dans la fiction : D14 : le choix de l’emplacement d’un instrument reste discuté.</w:t>
        <w:br/>
        <w:t>Pas encore entendus : les habitants qui manipuleraient les instruments et les institutions qui répondraient à leurs objections.</w:t>
      </w:r>
    </w:p>
    <w:p>
      <w:pPr>
        <w:pStyle w:val="Heading3"/>
      </w:pPr>
      <w:r>
        <w:t>Annotations et verdicts fictifs de la pause 3</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réciprocité distingue l’épreuve de la mesure et celle du cadrage.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double exigence de rigueur et de souveraineté figurait déjà dans le texte.</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Séquence 4 avant la pause</w:t>
      </w:r>
    </w:p>
    <w:p>
      <w:pPr>
        <w:keepNext w:val="0"/>
      </w:pPr>
      <w:r>
        <w:t>D16 C3  « La continuité après le projet est un critère que je retiens. Mais je voudrais suivre le travail qu’elle demande : nous pouvons transmettre un instrument tout en transférant son coût à quelqu’un qui ne peut pas le supporter. »</w:t>
      </w:r>
    </w:p>
    <w:p>
      <w:pPr>
        <w:keepNext w:val="0"/>
      </w:pPr>
      <w:r>
        <w:t>D17 C1  « Je partage la nécessité de suivre ce coût. Le modèle, les données ou le protocole peuvent nécessiter des reprises. Leur simple présence ne prouve pas qu’ils restent utilisables. »</w:t>
      </w:r>
    </w:p>
    <w:p>
      <w:pPr>
        <w:keepNext w:val="0"/>
      </w:pPr>
      <w:r>
        <w:t>D18 C4  « Je suis d’accord sur ce travail de maintien. Un lien durable avec une institution peut être une ressource. Il faut donc décrire les dépendances conservées, et pas promettre une indépendance totale. »</w:t>
      </w:r>
    </w:p>
    <w:p>
      <w:pPr>
        <w:keepNext w:val="0"/>
      </w:pPr>
      <w:r>
        <w:t>D19 C2  « Même accord. Je laisse ouverte la question du groupe qui poursuit : certains participants peuvent s’éloigner, d’autres entrer. Nous ne pouvons pas supposer que le collectif reste identique. »</w:t>
      </w:r>
    </w:p>
    <w:p>
      <w:pPr>
        <w:keepNext w:val="0"/>
      </w:pPr>
      <w:r>
        <w:t>D20 C5  « Je ne conteste pas le suivi de l’entretien. Je voudrais aussi que la personne qui ne peut plus participer puisse le dire sans que son départ soit immédiatement interprété comme un échec individuel. »</w:t>
      </w:r>
    </w:p>
    <w:p>
      <w:pPr>
        <w:keepNext w:val="0"/>
      </w:pPr>
      <w:r>
        <w:rPr>
          <w:sz w:val="20"/>
        </w:rPr>
        <w:t>Notification écrite de décor  « Il garantit la qualité des conditions de l’enquête : il rend les instruments compréhensibles, distingue les indices des preuves, explicite les incertitudes et conserve la mémoire des bifurcations. » → méthode ; non réfuté par abduction formelle ; non prouvé par déduction formelle ; discuté dans l’analyse du manuscrit.</w:t>
      </w:r>
    </w:p>
    <w:p>
      <w:pPr>
        <w:pStyle w:val="Heading2"/>
      </w:pPr>
      <w:r>
        <w:t>Pause 4 S4 La maintenance des capacités d’enquête</w:t>
      </w:r>
    </w:p>
    <w:p>
      <w:pPr>
        <w:keepNext/>
      </w:pPr>
      <w:r>
        <w:rPr>
          <w:sz w:val="20"/>
        </w:rPr>
        <w:t>Intervention Hypostasia  228 mots ; environ 1.8 minute de lecture estimée.</w:t>
      </w:r>
    </w:p>
    <w:p>
      <w:pPr>
        <w:keepNext w:val="0"/>
      </w:pPr>
      <w:r>
        <w:t>Rôle chœur. S4 La maintenance des capacités d’enquête. L’apprentissage collectif peut créer de nouvelles capacités et de nouvelles dépendances. Mesurer suppose un instrument entretenu ; comparer suppose des données accessibles ; interpeller une institution suppose des relations et des interlocuteurs. Une capacité acquise pendant un projet peut devenir difficile à exercer lorsque les moyens qui la soutenaient disparaissent.</w:t>
        <w:br/>
        <w:br/>
        <w:t>La maintenance des capacités d’enquête rapproche donc l’équipement, les conditions de maintien d’une proposition et la déprise du chercheur. Elle invite à suivre le travail nécessaire pour que l’enquête reste praticable, ainsi que sa répartition entre les personnes et les institutions. Le retrait de l’équipe devient une occasion d’examiner ces soutiens. Cette lecture ouvre une question que les résultats techniques ne permettent pas de résoudre seuls : les habitants peuvent-ils encore reprendre une mesure, modifier une question et obtenir une réponse sans supporter une charge devenue inaccessible ? La continuité appelle des observations sur les ressources, les relations et les possibilités de reprise effectivement conservées.</w:t>
        <w:br/>
        <w:t>Appuis : U36, U37, U38, U65, U66, U79, U80, U87 ; A5, A7, A10, A11.</w:t>
        <w:br/>
        <w:t>Exemple consensuel dans la fiction : D16 à D20 : accord fictif sur la nécessité de suivre l’entretien.</w:t>
        <w:br/>
        <w:t>Exemple discuté dans la fiction : D19 et D20 : la composition future du collectif reste discutée.</w:t>
        <w:br/>
        <w:t>Pas encore entendus : les personnes et les organisations auxquelles reviendrait l’entretien après le projet.</w:t>
      </w:r>
    </w:p>
    <w:p>
      <w:pPr>
        <w:pStyle w:val="Heading3"/>
      </w:pPr>
      <w:r>
        <w:t>Annotations et verdicts fictifs de la pause 4</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maintenance fait entrer le travail et sa répartition dans la continuité.</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retrait du chercheur était déjà un critère.</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Séquence 5 avant la pause</w:t>
      </w:r>
    </w:p>
    <w:p>
      <w:pPr>
        <w:keepNext w:val="0"/>
      </w:pPr>
      <w:r>
        <w:t>D21 C5  « Je retiens l’intérêt de partager les trajectoires. Mais le mot trajectoire me semble pouvoir désigner aussi bien un récit qu’une suite de traces. Comment vérifier ce que le récit a oublié ? »</w:t>
      </w:r>
    </w:p>
    <w:p>
      <w:pPr>
        <w:keepNext w:val="0"/>
      </w:pPr>
      <w:r>
        <w:t>D22 C3  « Je partage cette distinction. Nous pouvons conserver les versions du problème, les décisions et les objections ; cela ne garantit pas une mémoire exhaustive, mais rend les récits comparables à d’autres traces. »</w:t>
      </w:r>
    </w:p>
    <w:p>
      <w:pPr>
        <w:keepNext w:val="0"/>
      </w:pPr>
      <w:r>
        <w:t>D23 C1  « Même accord sur la nécessité des traces. Nous pourrions comparer les changements provoqués par un instrument dans deux contextes sans attendre le même résultat. Le contexte doit rester décrit. »</w:t>
      </w:r>
    </w:p>
    <w:p>
      <w:pPr>
        <w:keepNext w:val="0"/>
      </w:pPr>
      <w:r>
        <w:t>D24 C2  « Je suis d’accord pour conserver les désaccords avec les traces. Je ne voudrais pas que cette documentation transforme chaque hésitation en une variable que le chercheur serait seul à interpréter. »</w:t>
      </w:r>
    </w:p>
    <w:p>
      <w:pPr>
        <w:keepNext w:val="0"/>
      </w:pPr>
      <w:r>
        <w:t>D25 C4  « Je partage le besoin de traces. Le destinataire d’une trajectoire peut aussi la refuser ou la reprendre autrement. La circulation ne prouve pas, à elle seule, qu’un apprentissage s’est produit. »</w:t>
      </w:r>
    </w:p>
    <w:p>
      <w:pPr>
        <w:keepNext w:val="0"/>
      </w:pPr>
      <w:r>
        <w:rPr>
          <w:sz w:val="20"/>
        </w:rPr>
        <w:t>Notification écrite de décor  « C’est aussi ce déplacement qui peut devenir l’objet d’un apprentissage entre Living Labs. » → conjecture ; non réfuté par induction formelle ; non prouvé par déduction empirique ; discuté dans l’analyse du manuscrit.</w:t>
      </w:r>
    </w:p>
    <w:p>
      <w:pPr>
        <w:pStyle w:val="Heading2"/>
      </w:pPr>
      <w:r>
        <w:t>Pause 5 S5 Une comparabilité des transformations</w:t>
      </w:r>
    </w:p>
    <w:p>
      <w:pPr>
        <w:keepNext/>
      </w:pPr>
      <w:r>
        <w:rPr>
          <w:sz w:val="20"/>
        </w:rPr>
        <w:t>Intervention Hypostasia  230 mots ; environ 1.8 minute de lecture estimée.</w:t>
      </w:r>
    </w:p>
    <w:p>
      <w:pPr>
        <w:keepNext w:val="0"/>
      </w:pPr>
      <w:r>
        <w:t>Rôle chœur. S5 Une comparabilité des transformations. La réflexivité peut produire un objet scientifique partageable lorsque la trajectoire conserve la trace de ses transformations. Une question a été reformulée ; un instrument a rendu visible une dépendance ; une objection a modifié une décision ; un interlocuteur est devenu capable de porter un problème. Ces déplacements prennent sens avec les conditions dans lesquelles ils sont apparus.</w:t>
        <w:br/>
        <w:br/>
        <w:t>L’abstraction proposée est une comparabilité des transformations. Elle permettrait de rapprocher des Living Labs dont les résultats diffèrent, en examinant ce qui a changé dans les capacités d’enquête et dans la composition des problèmes. La singularité des situations devient une matière pour comparer les effets, les résistances et les bifurcations. Cette démarche demande des traces qui puissent être confrontées aux récits, ainsi qu’une description des conditions locales. Le partage d’une trajectoire constitue alors une proposition adressée à un autre collectif, dont les suites restent ouvertes : elle peut déplacer sa question, être contestée ou ne produire aucun changement.</w:t>
        <w:br/>
        <w:t>Appuis : U69, U70, U71, U72, U80, U88, U89, U90 ; A7, A10, A12.</w:t>
        <w:br/>
        <w:t>Exemple consensuel dans la fiction : D21 à D25 : accord fictif sur le besoin de conserver des traces.</w:t>
        <w:br/>
        <w:t>Exemple discuté dans la fiction : D24 et D25 : l’interprétation et les suites de leur circulation restent discutées.</w:t>
        <w:br/>
        <w:t>Pas encore entendus : un autre Living Lab, destinataire possible du récit de trajectoire.</w:t>
      </w:r>
    </w:p>
    <w:p>
      <w:pPr>
        <w:pStyle w:val="Heading3"/>
      </w:pPr>
      <w:r>
        <w:t>Annotations et verdicts fictifs de la pause 5</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comparaison reçoit un objet plus précis que la trajectoire seule.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bifurcations étaient déjà destinées à être partagées.</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Séquence 6 avant la pause</w:t>
      </w:r>
    </w:p>
    <w:p>
      <w:pPr>
        <w:keepNext w:val="0"/>
      </w:pPr>
      <w:r>
        <w:t>D26 C4  « Je ne suis pas convaincu par « Il n’y a donc plus de frein ». Sans produire de donnée de terrain ici, on peut au moins demander quel frein économique ou institutionnel demeurerait malgré une délibération réussie. »</w:t>
      </w:r>
    </w:p>
    <w:p>
      <w:pPr>
        <w:keepNext w:val="0"/>
      </w:pPr>
      <w:r>
        <w:t>D27 C2  « Je partage la nécessité de conserver cette question ouverte. La confiance peut soutenir l’action sans suffire à la rendre possible ; notre lecture doit préserver cette différence. »</w:t>
      </w:r>
    </w:p>
    <w:p>
      <w:pPr>
        <w:keepNext w:val="0"/>
      </w:pPr>
      <w:r>
        <w:t>D28 C1  « Même accord : nous n’avons pas établi la disparition des obstacles. Les scénarios peuvent rendre un danger visible, mais il faut aussi préciser quelles prises permettent de le discuter. »</w:t>
      </w:r>
    </w:p>
    <w:p>
      <w:pPr>
        <w:keepNext w:val="0"/>
      </w:pPr>
      <w:r>
        <w:t>D29 C3  « Je suis d’accord sur cette indétermination. Il faudrait documenter les moyens et les charges associés aux capacités nouvelles, et vérifier ce qui continue après la fin du projet. »</w:t>
      </w:r>
    </w:p>
    <w:p>
      <w:pPr>
        <w:keepNext w:val="0"/>
      </w:pPr>
      <w:r>
        <w:t>D30 C5  « Je ne conteste pas que cette cause reste ouverte. Nous devrions éviter de conclure qu’une personne peu mobilisée n’a pas compris la connaissance : elle peut manquer de moyens pour agir. »</w:t>
      </w:r>
    </w:p>
    <w:p>
      <w:pPr>
        <w:keepNext w:val="0"/>
      </w:pPr>
      <w:r>
        <w:rPr>
          <w:sz w:val="20"/>
        </w:rPr>
        <w:t>Notification écrite de décor  « Il n’y a donc plus de frein à réagir à la connaissance produite par les uns ou pas les autres car elle est le fruit de discussion, concertation délibération qui produisent un cheminement collectif de pensée et d’action. » → croyance ; non réfuté par déduction empirique ; non prouvé par induction formelle ; discuté dans l’analyse du manuscrit.</w:t>
      </w:r>
    </w:p>
    <w:p>
      <w:pPr>
        <w:pStyle w:val="Heading2"/>
      </w:pPr>
      <w:r>
        <w:t>Pause 6 S6 Une responsabilité attachée aux moyens d’agir</w:t>
      </w:r>
    </w:p>
    <w:p>
      <w:pPr>
        <w:keepNext/>
      </w:pPr>
      <w:r>
        <w:rPr>
          <w:sz w:val="20"/>
        </w:rPr>
        <w:t>Intervention Hypostasia  238 mots ; environ 1.8 minute de lecture estimée.</w:t>
      </w:r>
    </w:p>
    <w:p>
      <w:pPr>
        <w:keepNext w:val="0"/>
      </w:pPr>
      <w:r>
        <w:t>Rôle chœur. S6 Une responsabilité attachée aux moyens d’agir. Rendre un danger perceptible, ouvrir des instruments ou reconnaître une capacité d’enquête engage la question des moyens disponibles pour y répondre. Le collectif peut acquérir une responsabilité nouvelle sans disposer des ressources, du temps ou des interlocuteurs qui permettraient de l’exercer. La puissance d’agir annoncée par le dispositif doit donc être examinée avec ses conditions matérielles et institutionnelles.</w:t>
        <w:br/>
        <w:br/>
        <w:t>Cette abstraction relie le tact, l’ambivalence de la peur, les effets attendus de la confiance et les obligations du chercheur. Elle demande de suivre à qui les nouvelles capacités permettent d’agir et à qui elles font porter une charge. La responsabilité reste attribuable : les chercheurs, les institutions et les autres partenaires doivent aussi pouvoir répondre de ce qu’ils rendent possible ou laissent sans suite. Un laboratoire habité pourrait ainsi être évalué par l’ajustement entre les responsabilités reconnues, les prises offertes et les possibilités de réviser les choix, plutôt que par la seule intensité de la mobilisation collective.</w:t>
        <w:br/>
        <w:t>Appuis : U26, U27, U39, U40, U41, U44, U46, U47, U49, U50, U51, U52, U53, U91 ; A6, A8, A13, A14.</w:t>
        <w:br/>
        <w:t>Exemple consensuel dans la fiction : D26 à D30 : accord fictif pour laisser ouverte la disparition des freins.</w:t>
        <w:br/>
        <w:t>Exemple discuté dans la fiction : D26 : les conditions économiques ou institutionnelles restent discutées.</w:t>
        <w:br/>
        <w:t>Pas encore entendus : les habitants qui manquent de temps ou de ressources pour exercer les capacités annoncées.</w:t>
      </w:r>
    </w:p>
    <w:p>
      <w:pPr>
        <w:pStyle w:val="Heading3"/>
      </w:pPr>
      <w:r>
        <w:t>Annotations et verdicts fictifs de la pause 6</w:t>
      </w:r>
    </w:p>
    <w:tbl>
      <w:tblPr>
        <w:tblW w:type="auto" w:w="0"/>
        <w:tblLayout w:type="fixed"/>
        <w:tblLook w:firstColumn="1" w:firstRow="1" w:lastColumn="0" w:lastRow="0" w:noHBand="0" w:noVBand="1" w:val="04A0"/>
      </w:tblPr>
      <w:tblGrid>
        <w:gridCol w:w="1224"/>
        <w:gridCol w:w="2520"/>
        <w:gridCol w:w="6048"/>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Verdict fictif</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Motif du personnage</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inédit et créatif</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responsabilité est liée aux ressources nécessaires pour l’exercer.</w:t>
            </w:r>
          </w:p>
        </w:tc>
      </w:tr>
      <w:tr>
        <w:trPr>
          <w:cantSplit/>
        </w:trPr>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25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déjà dit</w:t>
            </w:r>
          </w:p>
        </w:tc>
        <w:tc>
          <w:tcPr>
            <w:tcW w:type="dxa" w:w="60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L’article maintenait déjà la responsabilité du chercheur.</w:t>
            </w:r>
          </w:p>
        </w:tc>
      </w:tr>
    </w:tbl>
    <w:p>
      <w:pPr>
        <w:keepNext w:val="0"/>
      </w:pPr>
    </w:p>
    <w:p>
      <w:pPr>
        <w:keepNext w:val="0"/>
      </w:pPr>
      <w:r>
        <w:rPr>
          <w:sz w:val="20"/>
        </w:rPr>
        <w:t>Les verdicts restent distincts. Aucune moyenne, aucun vote et aucun verdict réel ne sont déduits de cette fiction. Aucun personnage n’a donné « visiblement faux » dans cette séquence ; ce résultat n’est pas une validation de la synthèse.</w:t>
      </w:r>
    </w:p>
    <w:p>
      <w:pPr>
        <w:pStyle w:val="Heading2"/>
      </w:pPr>
      <w:r>
        <w:t>Arguments produits dans la fiction</w:t>
      </w:r>
    </w:p>
    <w:p>
      <w:pPr>
        <w:keepNext w:val="0"/>
      </w:pPr>
      <w:r>
        <w:t>Les paroles exactes sont citées dans les six séquences précédentes. Le tableau en conserve les locuteurs et les typages sans répéter les échanges. Les questions ouvertes restent discutées ; les accords cités aux pauses concernent seulement les propositions sur lesquelles les cinq personnages n’émettent plus d’objection dans la fiction.</w:t>
      </w:r>
    </w:p>
    <w:tbl>
      <w:tblPr>
        <w:tblW w:type="auto" w:w="0"/>
        <w:tblLayout w:type="fixed"/>
        <w:tblLook w:firstColumn="1" w:firstRow="1" w:lastColumn="0" w:lastRow="0" w:noHBand="0" w:noVBand="1" w:val="04A0"/>
      </w:tblPr>
      <w:tblGrid>
        <w:gridCol w:w="1080"/>
        <w:gridCol w:w="936"/>
        <w:gridCol w:w="3960"/>
        <w:gridCol w:w="3816"/>
      </w:tblGrid>
      <w:tr>
        <w:trPr>
          <w:cantSplit/>
          <w:tblHeader/>
        </w:trPr>
        <w:tc>
          <w:tcPr>
            <w:tcW w:type="dxa" w:w="24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Parole</w:t>
            </w:r>
          </w:p>
        </w:tc>
        <w:tc>
          <w:tcPr>
            <w:tcW w:type="dxa" w:w="24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Acteur</w:t>
            </w:r>
          </w:p>
        </w:tc>
        <w:tc>
          <w:tcPr>
            <w:tcW w:type="dxa" w:w="24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Hypostase proposée</w:t>
            </w:r>
          </w:p>
        </w:tc>
        <w:tc>
          <w:tcPr>
            <w:tcW w:type="dxa" w:w="244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Croisement NR et NP</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D01</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D02</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D03</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D04</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D05</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D06</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D07</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D08</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D09</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D10</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D11</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définition</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AE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D12</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D13</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D14</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D15</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D16</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D17</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D18</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D19</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D20</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D21</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D22</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D23</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D24</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D25</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D26</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C4</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D27</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C2</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D28</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DF / IE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D29</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C3</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DF</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D30</w:t>
            </w:r>
          </w:p>
        </w:tc>
        <w:tc>
          <w:tcPr>
            <w:tcW w:type="dxa" w:w="93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C5</w:t>
            </w:r>
          </w:p>
        </w:tc>
        <w:tc>
          <w:tcPr>
            <w:tcW w:type="dxa" w:w="39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381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AF / IE</w:t>
            </w:r>
          </w:p>
        </w:tc>
      </w:tr>
    </w:tbl>
    <w:p>
      <w:pPr>
        <w:keepNext w:val="0"/>
      </w:pPr>
    </w:p>
    <w:p>
      <w:pPr>
        <w:pStyle w:val="Heading2"/>
      </w:pPr>
      <w:r>
        <w:t>Erreurs de typage et autocorrections consignées</w:t>
      </w:r>
    </w:p>
    <w:tbl>
      <w:tblPr>
        <w:tblW w:type="auto" w:w="0"/>
        <w:tblLayout w:type="fixed"/>
        <w:tblLook w:firstColumn="1" w:firstRow="1" w:lastColumn="0" w:lastRow="0" w:noHBand="0" w:noVBand="1" w:val="04A0"/>
      </w:tblPr>
      <w:tblGrid>
        <w:gridCol w:w="1800"/>
        <w:gridCol w:w="3096"/>
        <w:gridCol w:w="4896"/>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Trace</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Constat</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Correction et statut</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Ancien A4 devenu U31</w:t>
            </w:r>
          </w:p>
        </w:tc>
        <w:tc>
          <w:tcPr>
            <w:tcW w:type="dxa" w:w="30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synthèse précédente proposait principe et méthode pour la même obligation.</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Autocorrection réelle de cette lecture : principe seul pour la phrase U31 ; les procédures sont typées à partir de U32, U34, U36 et U66. D12 met cette correction en scène.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U41</w:t>
            </w:r>
          </w:p>
        </w:tc>
        <w:tc>
          <w:tcPr>
            <w:tcW w:type="dxa" w:w="30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 découpage de phrases pouvait couper l’initiale E. et le nom Hache.</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citation typée est la phrase complète « Pour elle être responsable… ». Le nom reste un appui nominal à vérifier ; aucune attribution nouvelle.</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D01 et D06</w:t>
            </w:r>
          </w:p>
        </w:tc>
        <w:tc>
          <w:tcPr>
            <w:tcW w:type="dxa" w:w="30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Des personnages reprennent une formulation de l’IA précédente.</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Imitation déclarée ; elle ne suffit pas à établir une voix propre. D02, D07 et les autres objections apportent ensuite des arguments spécifiques.</w:t>
            </w:r>
          </w:p>
        </w:tc>
      </w:tr>
      <w:tr>
        <w:trPr>
          <w:cantSplit/>
        </w:trPr>
        <w:tc>
          <w:tcPr>
            <w:tcW w:type="dxa" w:w="180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U26 et U50</w:t>
            </w:r>
          </w:p>
        </w:tc>
        <w:tc>
          <w:tcPr>
            <w:tcW w:type="dxa" w:w="30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Une certitude favorable et une possibilité conditionnelle n’ont pas le même statut.</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Croyance pour l’assertion absolue U26 ; hypothèse pour U50. Ce contrôle distingue les modes verbaux ; aucune causalité n’est déclarée démontrée.</w:t>
            </w:r>
          </w:p>
        </w:tc>
      </w:tr>
    </w:tbl>
    <w:p>
      <w:pPr>
        <w:keepNext w:val="0"/>
      </w:pPr>
    </w:p>
    <w:p>
      <w:pPr>
        <w:keepNext w:val="0"/>
      </w:pPr>
      <w:r>
        <w:t>Aucune erreur n’est fabriquée chez un personnage pour produire artificiellement une correction. Le registre ne prétend pas avoir observé un public réel corriger l’IA.</w:t>
      </w:r>
    </w:p>
    <w:p>
      <w:pPr>
        <w:pStyle w:val="Heading1"/>
      </w:pPr>
      <w:r>
        <w:t>4 Arguments premiers et base de lecture</w:t>
      </w:r>
    </w:p>
    <w:p>
      <w:pPr>
        <w:keepNext w:val="0"/>
      </w:pPr>
      <w:r>
        <w:t>Rôle décor. Les quatorze arguments premiers ci-dessous factorisent les arguments principaux relevés dans les 92 unités. Le regroupement est proposé sur des termes et relations explicites. La matrice permet d’en examiner la couverture et les recouvrements conceptuels ; elle ne certifie pas à elle seule une irréductibilité mathématique. La qualification, l’autorité, la légitimité, les dépendances, les preuves, les effets des savoirs, les instruments, les futurs, les fonctions, le maintien, la continuité, la circulation et les obligations demeurent des objets distincts. A14 isole l’assurance de disparition des freins, dont la portée ne doit pas se dissoudre dans la théorie A6.</w:t>
      </w:r>
    </w:p>
    <w:tbl>
      <w:tblPr>
        <w:tblW w:type="auto" w:w="0"/>
        <w:tblLayout w:type="fixed"/>
        <w:tblLook w:firstColumn="1" w:firstRow="1" w:lastColumn="0" w:lastRow="0" w:noHBand="0" w:noVBand="1" w:val="04A0"/>
      </w:tblPr>
      <w:tblGrid>
        <w:gridCol w:w="720"/>
        <w:gridCol w:w="1130"/>
        <w:gridCol w:w="1130"/>
        <w:gridCol w:w="1130"/>
        <w:gridCol w:w="1130"/>
        <w:gridCol w:w="1130"/>
        <w:gridCol w:w="1130"/>
        <w:gridCol w:w="1130"/>
        <w:gridCol w:w="1130"/>
      </w:tblGrid>
      <w:tr>
        <w:trPr>
          <w:cantSplit/>
          <w:tblHeader/>
        </w:trPr>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problème</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autorité</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relation</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instrument</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futur</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capacité</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trajectoire</w:t>
            </w:r>
          </w:p>
        </w:tc>
        <w:tc>
          <w:tcPr>
            <w:tcW w:type="dxa" w:w="108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responsabilité</w:t>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A2</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A3</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A4</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A5</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A6</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A7</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A8</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A9</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A10</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A11</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A12</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A13</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r>
      <w:tr>
        <w:trPr>
          <w:cantSplit/>
        </w:trPr>
        <w:tc>
          <w:tcPr>
            <w:tcW w:type="dxa" w:w="7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A14</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w:t>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c>
          <w:tcPr>
            <w:tcW w:type="dxa" w:w="113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r>
          </w:p>
        </w:tc>
      </w:tr>
    </w:tbl>
    <w:p>
      <w:pPr>
        <w:keepNext w:val="0"/>
      </w:pPr>
    </w:p>
    <w:p>
      <w:pPr>
        <w:keepNext w:val="0"/>
      </w:pPr>
      <w:r>
        <w:t>Deux lignes partageant des termes ne portent pas nécessairement le même argument. A4 définit l’appartenance au milieu, tandis qu’A13 pose l’obligation de répondre ; A6 propose des effets situés, tandis qu’A10 porte sur le maintien d’une intervention. La base peut être corrigée si un lecteur montre qu’un argument est contenu dans un autre.</w:t>
      </w:r>
    </w:p>
    <w:p>
      <w:pPr>
        <w:pStyle w:val="Heading2"/>
      </w:pPr>
      <w:r>
        <w:t>A1 Qualifier le problème avant de choisir une réponse</w:t>
      </w:r>
    </w:p>
    <w:p>
      <w:pPr>
        <w:keepNext/>
      </w:pPr>
      <w:r>
        <w:rPr>
          <w:i/>
        </w:rPr>
        <w:t>« Il concerne la souveraineté sur l’expérimentation : qui est autorisé à dire quel est le problème ? »</w:t>
      </w:r>
    </w:p>
    <w:p>
      <w:pPr>
        <w:keepNext w:val="0"/>
      </w:pPr>
      <w:r>
        <w:rPr>
          <w:sz w:val="20"/>
        </w:rPr>
        <w:t>Source  U07, page 2. Typage  problème ; non réfuté par abduction formelle ; non prouvé par déduction empirique. Mode discuté dans la lecture du texte.</w:t>
      </w:r>
    </w:p>
    <w:p>
      <w:pPr>
        <w:keepNext w:val="0"/>
      </w:pPr>
      <w:r>
        <w:t>Factorise  U01, U02, U03, U04, U06, U07. Termes de regroupement  problème, qualification, incertitude.</w:t>
      </w:r>
    </w:p>
    <w:p>
      <w:pPr>
        <w:keepNext w:val="0"/>
      </w:pPr>
      <w:r>
        <w:t>Laisse ouvert  Comparer les formulations du problème avant l’enquête et après ses premières observations ; repérer les causes et limites restées indéterminées.</w:t>
      </w:r>
    </w:p>
    <w:p>
      <w:pPr>
        <w:pStyle w:val="Heading2"/>
      </w:pPr>
      <w:r>
        <w:t>A2 Distinguer participation et maîtrise de l’enquête</w:t>
      </w:r>
    </w:p>
    <w:p>
      <w:pPr>
        <w:keepNext/>
      </w:pPr>
      <w:r>
        <w:rPr>
          <w:i/>
        </w:rPr>
        <w:t>« La participation peut être réelle sans que soient nécessairement redistribués le pouvoir de définir le problème, de choisir ce qui mérite d’être observé, de modifier le protocole ou d’interpréter les résultats. »</w:t>
      </w:r>
    </w:p>
    <w:p>
      <w:pPr>
        <w:keepNext w:val="0"/>
      </w:pPr>
      <w:r>
        <w:rPr>
          <w:sz w:val="20"/>
        </w:rPr>
        <w:t>Source  U05, page 1 à 2. Typage  hypothèse ; non réfuté par abduction formelle ; non prouvé par induction empirique. Mode discuté dans la lecture du texte.</w:t>
      </w:r>
    </w:p>
    <w:p>
      <w:pPr>
        <w:keepNext w:val="0"/>
      </w:pPr>
      <w:r>
        <w:t>Factorise  U05, U14, U15, U17, U19, U20. Termes de regroupement  participation, question, bifurcation.</w:t>
      </w:r>
    </w:p>
    <w:p>
      <w:pPr>
        <w:keepNext w:val="0"/>
      </w:pPr>
      <w:r>
        <w:t>Laisse ouvert  Suivre une proposition de modification du problème ou du protocole : auteur, réponse, décision, motif et suites.</w:t>
      </w:r>
    </w:p>
    <w:p>
      <w:pPr>
        <w:pStyle w:val="Heading2"/>
      </w:pPr>
      <w:r>
        <w:t>A3 Reconnaître une égalité de légitimité</w:t>
      </w:r>
    </w:p>
    <w:p>
      <w:pPr>
        <w:keepNext/>
      </w:pPr>
      <w:r>
        <w:rPr>
          <w:i/>
        </w:rPr>
        <w:t>« L’égalité entre les participants est un prérequis et non pas un objectif du processus. »</w:t>
      </w:r>
    </w:p>
    <w:p>
      <w:pPr>
        <w:keepNext w:val="0"/>
      </w:pPr>
      <w:r>
        <w:rPr>
          <w:sz w:val="20"/>
        </w:rPr>
        <w:t>Source  U16, page 3. Typage  axiome ; non réfuté par induction formelle ; non prouvé par induction empirique. Mode discuté dans la lecture du texte.</w:t>
      </w:r>
    </w:p>
    <w:p>
      <w:pPr>
        <w:keepNext w:val="0"/>
      </w:pPr>
      <w:r>
        <w:t>Factorise  U16, U24, U25. Termes de regroupement  égalité, légitimité, asymétrie.</w:t>
      </w:r>
    </w:p>
    <w:p>
      <w:pPr>
        <w:keepNext w:val="0"/>
      </w:pPr>
      <w:r>
        <w:t>Laisse ouvert  Observer les possibilités de parole et d’objection, leurs effets sur les choix et les obstacles à leur exercice.</w:t>
      </w:r>
    </w:p>
    <w:p>
      <w:pPr>
        <w:pStyle w:val="Heading2"/>
      </w:pPr>
      <w:r>
        <w:t>A4 Définir le milieu par les relations qui permettent de vivre</w:t>
      </w:r>
    </w:p>
    <w:p>
      <w:pPr>
        <w:keepNext/>
      </w:pPr>
      <w:r>
        <w:rPr>
          <w:i/>
        </w:rPr>
        <w:t>« Il est un milieu habité, c’est-à-dire un ensemble de relations, de dépendances et d’attachements qui rendent possibles certaines formes de vie. »</w:t>
      </w:r>
    </w:p>
    <w:p>
      <w:pPr>
        <w:keepNext w:val="0"/>
      </w:pPr>
      <w:r>
        <w:rPr>
          <w:sz w:val="20"/>
        </w:rPr>
        <w:t>Source  U21, page 4. Typage  définition ; non réfuté par abduction formelle ; non prouvé par abduction empirique. Mode discuté dans la lecture du texte.</w:t>
      </w:r>
    </w:p>
    <w:p>
      <w:pPr>
        <w:keepNext w:val="0"/>
      </w:pPr>
      <w:r>
        <w:t>Factorise  U08, U09, U10, U21, U22, U23, U84, U85, U86, U92. Termes de regroupement  dépendance, habitant, habitabilité.</w:t>
      </w:r>
    </w:p>
    <w:p>
      <w:pPr>
        <w:keepNext w:val="0"/>
      </w:pPr>
      <w:r>
        <w:t>Laisse ouvert  Identifier les dépendances affectées, les absents et les modalités de représentation ; examiner un cas qui déborde le périmètre initial.</w:t>
      </w:r>
    </w:p>
    <w:p>
      <w:pPr>
        <w:pStyle w:val="Heading2"/>
      </w:pPr>
      <w:r>
        <w:t>A5 Articuler rigueur et souveraineté</w:t>
      </w:r>
    </w:p>
    <w:p>
      <w:pPr>
        <w:keepNext/>
      </w:pPr>
      <w:r>
        <w:rPr>
          <w:i/>
        </w:rPr>
        <w:t>« Le laboratoire habité doit tenir ensemble la souveraineté du collectif sur le problème et l’exigence méthodologique de l’enquête située. »</w:t>
      </w:r>
    </w:p>
    <w:p>
      <w:pPr>
        <w:keepNext w:val="0"/>
      </w:pPr>
      <w:r>
        <w:rPr>
          <w:sz w:val="20"/>
        </w:rPr>
        <w:t>Source  U31, page 6. Typage  principe ; non réfuté par déduction formelle ; non prouvé par induction empirique. Mode discuté dans la lecture du texte.</w:t>
      </w:r>
    </w:p>
    <w:p>
      <w:pPr>
        <w:keepNext w:val="0"/>
      </w:pPr>
      <w:r>
        <w:t>Factorise  U12, U30, U31, U32, U33, U34, U36, U44, U45, U56. Termes de regroupement  rigueur, souveraineté, protocole.</w:t>
      </w:r>
    </w:p>
    <w:p>
      <w:pPr>
        <w:keepNext w:val="0"/>
      </w:pPr>
      <w:r>
        <w:t>Laisse ouvert  Documenter le traitement d’un désaccord sur le protocole, y compris les responsabilités scientifiques et les droits de révision.</w:t>
      </w:r>
    </w:p>
    <w:p>
      <w:pPr>
        <w:pStyle w:val="Heading2"/>
      </w:pPr>
      <w:r>
        <w:t>A6 Relier les connaissances à leurs effets situés</w:t>
      </w:r>
    </w:p>
    <w:p>
      <w:pPr>
        <w:keepNext/>
      </w:pPr>
      <w:r>
        <w:rPr>
          <w:i/>
        </w:rPr>
        <w:t>« La connaissance n’est pas agissante parce qu’elle serait définitivement vraie, mais parce qu’elle peut être reliée, discutée, éprouvée et contestée. »</w:t>
      </w:r>
    </w:p>
    <w:p>
      <w:pPr>
        <w:keepNext w:val="0"/>
      </w:pPr>
      <w:r>
        <w:rPr>
          <w:sz w:val="20"/>
        </w:rPr>
        <w:t>Source  U29, page 5. Typage  théorie ; non réfuté par abduction formelle ; non prouvé par induction formelle. Mode discuté dans la lecture du texte.</w:t>
      </w:r>
    </w:p>
    <w:p>
      <w:pPr>
        <w:keepNext w:val="0"/>
      </w:pPr>
      <w:r>
        <w:t>Factorise  U27, U28, U29. Termes de regroupement  connaissance, confiance, action.</w:t>
      </w:r>
    </w:p>
    <w:p>
      <w:pPr>
        <w:keepNext w:val="0"/>
      </w:pPr>
      <w:r>
        <w:t>Laisse ouvert  Comparer les effets d’une connaissance discutée dans plusieurs situations, en recherchant aussi les obstacles qui persistent.</w:t>
      </w:r>
    </w:p>
    <w:p>
      <w:pPr>
        <w:pStyle w:val="Heading2"/>
      </w:pPr>
      <w:r>
        <w:t>A7 Examiner ce que les instruments font au problème</w:t>
      </w:r>
    </w:p>
    <w:p>
      <w:pPr>
        <w:keepNext/>
      </w:pPr>
      <w:r>
        <w:rPr>
          <w:i/>
        </w:rPr>
        <w:t>« Une carte, un modèle, une frise, un jeu, un capteur ne sont jamais de simples intermédiaires entre un monde déjà constitué et ceux qui chercheraient à le connaître. »</w:t>
      </w:r>
    </w:p>
    <w:p>
      <w:pPr>
        <w:keepNext w:val="0"/>
      </w:pPr>
      <w:r>
        <w:rPr>
          <w:sz w:val="20"/>
        </w:rPr>
        <w:t>Source  U55, page 10. Typage  théorie ; non réfuté par abduction formelle ; non prouvé par induction formelle. Mode discuté dans la lecture du texte.</w:t>
      </w:r>
    </w:p>
    <w:p>
      <w:pPr>
        <w:keepNext w:val="0"/>
      </w:pPr>
      <w:r>
        <w:t>Factorise  U42, U43, U54, U55, U57, U58, U59, U62, U63, U64, U65, U66, U67, U68, U72. Termes de regroupement  instrument, attention, question.</w:t>
      </w:r>
    </w:p>
    <w:p>
      <w:pPr>
        <w:keepNext w:val="0"/>
      </w:pPr>
      <w:r>
        <w:t>Laisse ouvert  Conserver les choix d’instrumentation, les questions qu’ils rendent visibles et celles qu’ils laissent de côté ; confronter une autre instrumentation.</w:t>
      </w:r>
    </w:p>
    <w:p>
      <w:pPr>
        <w:pStyle w:val="Heading2"/>
      </w:pPr>
      <w:r>
        <w:t>A8 Rendre les conséquences futures discutables</w:t>
      </w:r>
    </w:p>
    <w:p>
      <w:pPr>
        <w:keepNext/>
      </w:pPr>
      <w:r>
        <w:rPr>
          <w:i/>
        </w:rPr>
        <w:t>« Les observations habitantes, les savoirs professionnels, les mesures instrumentales, les analyses scientifiques et les récits du territoire peuvent être mis en relation. »</w:t>
      </w:r>
    </w:p>
    <w:p>
      <w:pPr>
        <w:keepNext w:val="0"/>
      </w:pPr>
      <w:r>
        <w:rPr>
          <w:sz w:val="20"/>
        </w:rPr>
        <w:t>Source  U49, page 9. Typage  méthode ; non réfuté par abduction formelle ; non prouvé par déduction formelle. Mode discuté dans la lecture du texte.</w:t>
      </w:r>
    </w:p>
    <w:p>
      <w:pPr>
        <w:keepNext w:val="0"/>
      </w:pPr>
      <w:r>
        <w:t>Factorise  U46, U47, U48, U49, U50, U51, U52, U53, U60, U61, U82, U83. Termes de regroupement  futur, inquiétude, incertitude.</w:t>
      </w:r>
    </w:p>
    <w:p>
      <w:pPr>
        <w:keepNext w:val="0"/>
      </w:pPr>
      <w:r>
        <w:t>Laisse ouvert  Examiner les hypothèses des scénarios, les incertitudes et les prises pratiques offertes pour poursuivre l’enquête.</w:t>
      </w:r>
    </w:p>
    <w:p>
      <w:pPr>
        <w:pStyle w:val="Heading2"/>
      </w:pPr>
      <w:r>
        <w:t>A9 Organiser quatre fonctions auxquelles revenir</w:t>
      </w:r>
    </w:p>
    <w:p>
      <w:pPr>
        <w:keepNext/>
      </w:pPr>
      <w:r>
        <w:rPr>
          <w:i/>
        </w:rPr>
        <w:t>« Elles constituent plutôt quatre capacités du dispositif : écouter et composer, traduire, expérimenter et se projeter. »</w:t>
      </w:r>
    </w:p>
    <w:p>
      <w:pPr>
        <w:keepNext w:val="0"/>
      </w:pPr>
      <w:r>
        <w:rPr>
          <w:sz w:val="20"/>
        </w:rPr>
        <w:t>Source  U73, page 13. Typage  structure ; non réfuté par induction formelle ; non prouvé par abduction formelle. Mode discuté dans la lecture du texte.</w:t>
      </w:r>
    </w:p>
    <w:p>
      <w:pPr>
        <w:keepNext w:val="0"/>
      </w:pPr>
      <w:r>
        <w:t>Factorise  U73, U74, U75, U76, U77, U78. Termes de regroupement  écoute, traduction, essai, projection.</w:t>
      </w:r>
    </w:p>
    <w:p>
      <w:pPr>
        <w:keepNext w:val="0"/>
      </w:pPr>
      <w:r>
        <w:t>Laisse ouvert  Documenter les retours entre les quatre fonctions et les activités qu’elles ne permettent pas de classer.</w:t>
      </w:r>
    </w:p>
    <w:p>
      <w:pPr>
        <w:pStyle w:val="Heading2"/>
      </w:pPr>
      <w:r>
        <w:t>A10 Mettre à l’épreuve les conditions de maintien</w:t>
      </w:r>
    </w:p>
    <w:p>
      <w:pPr>
        <w:keepNext/>
      </w:pPr>
      <w:r>
        <w:rPr>
          <w:i/>
        </w:rPr>
        <w:t>« Une intervention peut fonctionner techniquement tout en produisant un coût impossible à supporter ; une pratique jugée prometteuse peut déplacer le problème vers un autre compartiment du système ; une solution rejetée au départ peut devenir envisageable lorsque ses conditions de mise en œuvre sont recomposées. »</w:t>
      </w:r>
    </w:p>
    <w:p>
      <w:pPr>
        <w:keepNext w:val="0"/>
      </w:pPr>
      <w:r>
        <w:rPr>
          <w:sz w:val="20"/>
        </w:rPr>
        <w:t>Source  U79, page 14. Typage  hypothèse ; non réfuté par abduction formelle ; non prouvé par induction empirique. Mode discuté dans la lecture du texte.</w:t>
      </w:r>
    </w:p>
    <w:p>
      <w:pPr>
        <w:keepNext w:val="0"/>
      </w:pPr>
      <w:r>
        <w:t>Factorise  U79, U80, U81. Termes de regroupement  coût, reprise, relation.</w:t>
      </w:r>
    </w:p>
    <w:p>
      <w:pPr>
        <w:keepNext w:val="0"/>
      </w:pPr>
      <w:r>
        <w:t>Laisse ouvert  Suivre les coûts, le travail, les soutiens et les effets déplacés, puis reprendre l’essai après un changement de conditions.</w:t>
      </w:r>
    </w:p>
    <w:p>
      <w:pPr>
        <w:pStyle w:val="Heading2"/>
      </w:pPr>
      <w:r>
        <w:t>A11 Évaluer la continuité au retrait de l’équipe</w:t>
      </w:r>
    </w:p>
    <w:p>
      <w:pPr>
        <w:keepNext/>
      </w:pPr>
      <w:r>
        <w:rPr>
          <w:i/>
        </w:rPr>
        <w:t>« Le laboratoire habité se reconnaît ainsi moins à la présence permanente d’une équipe scientifique qu’à sa capacité à organiser progressivement sa propre déprise. »</w:t>
      </w:r>
    </w:p>
    <w:p>
      <w:pPr>
        <w:keepNext w:val="0"/>
      </w:pPr>
      <w:r>
        <w:rPr>
          <w:sz w:val="20"/>
        </w:rPr>
        <w:t>Source  U38, page 7. Typage  définition ; non réfuté par abduction formelle ; non prouvé par abduction empirique. Mode discuté dans la lecture du texte.</w:t>
      </w:r>
    </w:p>
    <w:p>
      <w:pPr>
        <w:keepNext w:val="0"/>
      </w:pPr>
      <w:r>
        <w:t>Factorise  U11, U37, U38, U87. Termes de regroupement  déprise, capacité, durée.</w:t>
      </w:r>
    </w:p>
    <w:p>
      <w:pPr>
        <w:keepNext w:val="0"/>
      </w:pPr>
      <w:r>
        <w:t>Laisse ouvert  Revenir après le retrait de l’équipe et vérifier les accès, l’entretien des instruments, les reprises d’enquête et les interlocuteurs mobilisables.</w:t>
      </w:r>
    </w:p>
    <w:p>
      <w:pPr>
        <w:pStyle w:val="Heading2"/>
      </w:pPr>
      <w:r>
        <w:t>A12 Partager les transformations de la trajectoire</w:t>
      </w:r>
    </w:p>
    <w:p>
      <w:pPr>
        <w:keepNext/>
      </w:pPr>
      <w:r>
        <w:rPr>
          <w:i/>
        </w:rPr>
        <w:t>« Le principal résultat d’un laboratoire habité pourrait alors être moins une solution qu’une trajectoire devenue consciente d’elle-même. »</w:t>
      </w:r>
    </w:p>
    <w:p>
      <w:pPr>
        <w:keepNext w:val="0"/>
      </w:pPr>
      <w:r>
        <w:rPr>
          <w:sz w:val="20"/>
        </w:rPr>
        <w:t>Source  U88, page 16. Typage  conjecture ; non réfuté par induction formelle ; non prouvé par déduction empirique. Mode discuté dans la lecture du texte.</w:t>
      </w:r>
    </w:p>
    <w:p>
      <w:pPr>
        <w:keepNext w:val="0"/>
      </w:pPr>
      <w:r>
        <w:t>Factorise  U69, U70, U71, U88, U89, U90. Termes de regroupement  trajectoire, réflexivité, circulation.</w:t>
      </w:r>
    </w:p>
    <w:p>
      <w:pPr>
        <w:keepNext w:val="0"/>
      </w:pPr>
      <w:r>
        <w:t>Laisse ouvert  Comparer des récits de bifurcation avec les traces de décisions ; suivre ce que leur circulation change dans un autre collectif.</w:t>
      </w:r>
    </w:p>
    <w:p>
      <w:pPr>
        <w:pStyle w:val="Heading2"/>
      </w:pPr>
      <w:r>
        <w:t>A13 Répondre des transformations auxquelles on participe</w:t>
      </w:r>
    </w:p>
    <w:p>
      <w:pPr>
        <w:keepNext/>
      </w:pPr>
      <w:r>
        <w:rPr>
          <w:i/>
        </w:rPr>
        <w:t>« Il constitue une condition politique du processus : aucune trajectoire ne peut être tenue pour juste si ceux qui devront en supporter les conséquences n’ont pas la possibilité de la mettre à l’épreuve et de la réorienter. »</w:t>
      </w:r>
    </w:p>
    <w:p>
      <w:pPr>
        <w:keepNext w:val="0"/>
      </w:pPr>
      <w:r>
        <w:rPr>
          <w:sz w:val="20"/>
        </w:rPr>
        <w:t>Source  U40, page 7. Typage  principe ; non réfuté par déduction formelle ; non prouvé par induction empirique. Mode discuté dans la lecture du texte.</w:t>
      </w:r>
    </w:p>
    <w:p>
      <w:pPr>
        <w:keepNext w:val="0"/>
      </w:pPr>
      <w:r>
        <w:t>Factorise  U13, U18, U35, U39, U40, U41, U91. Termes de regroupement  responsabilité, sollicitation, conséquence.</w:t>
      </w:r>
    </w:p>
    <w:p>
      <w:pPr>
        <w:keepNext w:val="0"/>
      </w:pPr>
      <w:r>
        <w:t>Laisse ouvert  Repérer qui peut agir, qui doit répondre et qui supporte les conséquences ; documenter une sollicitation et son traitement.</w:t>
      </w:r>
    </w:p>
    <w:p>
      <w:pPr>
        <w:pStyle w:val="Heading2"/>
      </w:pPr>
      <w:r>
        <w:t>A14 Supposer une levée des freins par la délibération</w:t>
      </w:r>
    </w:p>
    <w:p>
      <w:pPr>
        <w:keepNext/>
      </w:pPr>
      <w:r>
        <w:rPr>
          <w:i/>
        </w:rPr>
        <w:t>« Il n’y a donc plus de frein à réagir à la connaissance produite par les uns ou pas les autres car elle est le fruit de discussion, concertation délibération qui produisent un cheminement collectif de pensée et d’action. »</w:t>
      </w:r>
    </w:p>
    <w:p>
      <w:pPr>
        <w:keepNext w:val="0"/>
      </w:pPr>
      <w:r>
        <w:rPr>
          <w:sz w:val="20"/>
        </w:rPr>
        <w:t>Source  U26, page 5. Typage  croyance ; non réfuté par déduction empirique ; non prouvé par induction formelle. Mode discuté dans la lecture du texte.</w:t>
      </w:r>
    </w:p>
    <w:p>
      <w:pPr>
        <w:keepNext w:val="0"/>
      </w:pPr>
      <w:r>
        <w:t>Factorise  U26. Termes de regroupement  confiance, délibération, frein.</w:t>
      </w:r>
    </w:p>
    <w:p>
      <w:pPr>
        <w:keepNext w:val="0"/>
      </w:pPr>
      <w:r>
        <w:t>Laisse ouvert  Chercher un frein qui demeure malgré une délibération et une confiance déclarées ; préciser les conditions de la généralisation.</w:t>
      </w:r>
    </w:p>
    <w:p>
      <w:pPr>
        <w:keepNext w:val="0"/>
      </w:pPr>
      <w:r>
        <w:t>La couverture porte sur les arguments principaux des unités, dont les citations et les couleurs sont disponibles en annexe. Les exemples et arguments secondaires demeurent dans le texte des unités lues ou dans le PDF de référence. Aucun argument premier n’est bi-typé dans cette version ; les assertions différentes d’une même unité ne sont pas fusionnées pour fabriquer un double typage.</w:t>
      </w:r>
    </w:p>
    <w:p>
      <w:pPr>
        <w:pStyle w:val="Heading1"/>
      </w:pPr>
      <w:r>
        <w:t>5 Moment de conclure dans la fiction</w:t>
      </w:r>
    </w:p>
    <w:p>
      <w:pPr>
        <w:keepNext w:val="0"/>
      </w:pPr>
      <w:r>
        <w:t>Décision conçue par les personnages  Conserver la proposition de laboratoire habité et réviser le manuscrit pour distinguer ses exigences, ses mécanismes possibles et les traces permettant d’en discuter les effets. Cette décision concerne un travail éditorial. Elle n’adopte aucune règle pour un territoire ni ne fixe ce qui serait juste pour ses habitants.</w:t>
      </w:r>
    </w:p>
    <w:p>
      <w:pPr>
        <w:pStyle w:val="Heading2"/>
      </w:pPr>
      <w:r>
        <w:t>F1 Rendre visible le traitement des objections</w:t>
      </w:r>
    </w:p>
    <w:p>
      <w:pPr>
        <w:keepNext/>
      </w:pPr>
      <w:r>
        <w:rPr>
          <w:sz w:val="20"/>
        </w:rPr>
        <w:t>Intervention de chœur  46 mots.</w:t>
      </w:r>
    </w:p>
    <w:p>
      <w:pPr>
        <w:keepNext w:val="0"/>
      </w:pPr>
      <w:r>
        <w:t>Rôle chœur. Une souveraineté proclamée peut rester difficile à exercer lorsque le protocole est contesté. Trait proposé : Pour chaque exemple mobilisé, conserver qui a demandé une révision, ce qui a été répondu et les suites. Pas encore entendus : Les habitants qui demanderaient cette révision.</w:t>
      </w:r>
    </w:p>
    <w:p>
      <w:pPr>
        <w:keepNext w:val="0"/>
      </w:pPr>
      <w:r>
        <w:t>Verdicts fictifs  C3 : inédit et créatif, car F1 précise une trace à conserver. C4 : déjà dit, car le manuscrit demandait déjà de documenter le processus. Le groupe conserve le trait comme proposition de travail ; sa mise en œuvre reste à vérifier.</w:t>
      </w:r>
    </w:p>
    <w:p>
      <w:pPr>
        <w:pStyle w:val="Heading2"/>
      </w:pPr>
      <w:r>
        <w:t>F2 Documenter le travail nécessaire à la continuité</w:t>
      </w:r>
    </w:p>
    <w:p>
      <w:pPr>
        <w:keepNext/>
      </w:pPr>
      <w:r>
        <w:rPr>
          <w:sz w:val="20"/>
        </w:rPr>
        <w:t>Intervention de chœur  50 mots.</w:t>
      </w:r>
    </w:p>
    <w:p>
      <w:pPr>
        <w:keepNext w:val="0"/>
      </w:pPr>
      <w:r>
        <w:t>Rôle chœur. La présence d’un instrument après le projet ne renseigne pas encore sur son entretien ou son accès. Trait proposé : Décrire les ressources, les personnes et les institutions nécessaires pour reprendre l’enquête, et les charges qui leur reviennent. Pas encore entendus : Les personnes auxquelles cet entretien reviendrait.</w:t>
      </w:r>
    </w:p>
    <w:p>
      <w:pPr>
        <w:keepNext w:val="0"/>
      </w:pPr>
      <w:r>
        <w:t>Verdicts fictifs  C3 : inédit et créatif, car F2 précise une trace à conserver. C4 : déjà dit, car le manuscrit demandait déjà de documenter le processus. Le groupe conserve le trait comme proposition de travail ; sa mise en œuvre reste à vérifier.</w:t>
      </w:r>
    </w:p>
    <w:p>
      <w:pPr>
        <w:pStyle w:val="Heading2"/>
      </w:pPr>
      <w:r>
        <w:t>F3 Préserver les désaccords dans les trajectoires partagées</w:t>
      </w:r>
    </w:p>
    <w:p>
      <w:pPr>
        <w:keepNext/>
      </w:pPr>
      <w:r>
        <w:rPr>
          <w:sz w:val="20"/>
        </w:rPr>
        <w:t>Intervention de chœur  52 mots.</w:t>
      </w:r>
    </w:p>
    <w:p>
      <w:pPr>
        <w:keepNext w:val="0"/>
      </w:pPr>
      <w:r>
        <w:t>Rôle chœur. Un récit commun peut lisser les objections et les bifurcations refusées. Trait proposé : Joindre au récit les versions du problème, les objections et les limites de ce qui a été observé ; ne pas présenter cette mémoire comme exhaustive. Pas encore entendus : Le collectif destinataire de cette trajectoire.</w:t>
      </w:r>
    </w:p>
    <w:p>
      <w:pPr>
        <w:keepNext w:val="0"/>
      </w:pPr>
      <w:r>
        <w:t>Verdicts fictifs  C3 : inédit et créatif, car F3 précise une trace à conserver. C4 : déjà dit, car le manuscrit demandait déjà de documenter le processus. Le groupe conserve le trait comme proposition de travail ; sa mise en œuvre reste à vérifier.</w:t>
      </w:r>
    </w:p>
    <w:tbl>
      <w:tblPr>
        <w:tblW w:type="auto" w:w="0"/>
        <w:tblLayout w:type="fixed"/>
        <w:tblLook w:firstColumn="1" w:firstRow="1" w:lastColumn="0" w:lastRow="0" w:noHBand="0" w:noVBand="1" w:val="04A0"/>
      </w:tblPr>
      <w:tblGrid>
        <w:gridCol w:w="1512"/>
        <w:gridCol w:w="4104"/>
        <w:gridCol w:w="4176"/>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Point comparé</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Décision fictive sans écouter le chœur</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Décision fictive en l’écoutant</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Qui conçoit</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 à C5 gardent le cadrage initial.</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C1 à C5 gardent le cadrage et explicitent ses conditions de discussion.</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Effet de la critique</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Pas de trace ajoutée au seul exposé des principes.</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F1 à F3 deviennent trois objets de documentation proposés.</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P1</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lecture reste collective dans la fiction.</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lecture inclut des objections et leurs suites dans la fiction.</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P2</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habitants restent absents.</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Leur absence est signalée et une mise à l’épreuve ultérieure est préparée ; P2 reste non validé.</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P3</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 proposition pourrait être présentée comme suffisante.</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mécanismes, les moyens et les effets restent ouverts à l’enquête.</w:t>
            </w:r>
          </w:p>
        </w:tc>
      </w:tr>
      <w:tr>
        <w:trPr>
          <w:cantSplit/>
        </w:trPr>
        <w:tc>
          <w:tcPr>
            <w:tcW w:type="dxa" w:w="151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Durée de la décision</w:t>
            </w:r>
          </w:p>
        </w:tc>
        <w:tc>
          <w:tcPr>
            <w:tcW w:type="dxa" w:w="410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Valable pour préparer une prochaine version.</w:t>
            </w:r>
          </w:p>
        </w:tc>
        <w:tc>
          <w:tcPr>
            <w:tcW w:type="dxa" w:w="417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Même portée éditoriale ; réexamen à la prochaine séance réelle.</w:t>
            </w:r>
          </w:p>
        </w:tc>
      </w:tr>
    </w:tbl>
    <w:p>
      <w:pPr>
        <w:keepNext w:val="0"/>
      </w:pPr>
    </w:p>
    <w:p>
      <w:pPr>
        <w:pStyle w:val="Heading2"/>
      </w:pPr>
      <w:r>
        <w:t>Charte fictive du groupe de révision</w:t>
      </w:r>
    </w:p>
    <w:p>
      <w:pPr>
        <w:pStyle w:val="Heading3"/>
      </w:pPr>
      <w:r>
        <w:t>CH1 Article 1</w:t>
      </w:r>
    </w:p>
    <w:p>
      <w:pPr>
        <w:keepNext w:val="0"/>
      </w:pPr>
      <w:r>
        <w:t>Nous prenons soin du manuscrit, de ses sources et de la mémoire de nos désaccords. Nous distinguons notre groupe de révision des personnes concernées par les Living Labs.</w:t>
      </w:r>
    </w:p>
    <w:p>
      <w:pPr>
        <w:keepNext w:val="0"/>
      </w:pPr>
      <w:r>
        <w:rPr>
          <w:sz w:val="20"/>
        </w:rPr>
        <w:t>Principe d’Ostrom du prompt  1. Appuis  S2 ; A4 ; A13. Règle  déontique.</w:t>
      </w:r>
    </w:p>
    <w:p>
      <w:pPr>
        <w:pStyle w:val="Heading3"/>
      </w:pPr>
      <w:r>
        <w:t>CH2 Article 2</w:t>
      </w:r>
    </w:p>
    <w:p>
      <w:pPr>
        <w:keepNext w:val="0"/>
      </w:pPr>
      <w:r>
        <w:t>Nous ajustons les tâches de lecture, de vérification et de documentation aux moyens et au temps que chacun peut y consacrer. Nous discutons la charge avant de la répartir.</w:t>
      </w:r>
    </w:p>
    <w:p>
      <w:pPr>
        <w:keepNext w:val="0"/>
      </w:pPr>
      <w:r>
        <w:rPr>
          <w:sz w:val="20"/>
        </w:rPr>
        <w:t>Principe d’Ostrom du prompt  2. Appuis  S4 ; S6 ; A10 ; A11. Règle  déontique.</w:t>
      </w:r>
    </w:p>
    <w:p>
      <w:pPr>
        <w:pStyle w:val="Heading3"/>
      </w:pPr>
      <w:r>
        <w:t>CH3 Article 3</w:t>
      </w:r>
    </w:p>
    <w:p>
      <w:pPr>
        <w:keepNext w:val="0"/>
      </w:pPr>
      <w:r>
        <w:t>Nous fixons et révisons nos règles de lecture et de décision. Chaque membre peut proposer une objection et demander que sa réponse soit consignée.</w:t>
      </w:r>
    </w:p>
    <w:p>
      <w:pPr>
        <w:keepNext w:val="0"/>
      </w:pPr>
      <w:r>
        <w:rPr>
          <w:sz w:val="20"/>
        </w:rPr>
        <w:t>Principe d’Ostrom du prompt  3. Appuis  S1 ; A3 ; A5 ; F1. Règle  déontique.</w:t>
      </w:r>
    </w:p>
    <w:p>
      <w:pPr>
        <w:pStyle w:val="Heading3"/>
      </w:pPr>
      <w:r>
        <w:t>CH4 Article 4</w:t>
      </w:r>
    </w:p>
    <w:p>
      <w:pPr>
        <w:keepNext w:val="0"/>
      </w:pPr>
      <w:r>
        <w:t>Nous conservons les versions, les citations contrôlées et les objections. À la prochaine séance réelle, nous examinons ce que nos choix ont changé et ce qui reste à vérifier.</w:t>
      </w:r>
    </w:p>
    <w:p>
      <w:pPr>
        <w:keepNext w:val="0"/>
      </w:pPr>
      <w:r>
        <w:rPr>
          <w:sz w:val="20"/>
        </w:rPr>
        <w:t>Principe d’Ostrom du prompt  4. Appuis  S3 ; S5 ; A7 ; A12 ; F3. Règle  bonne pratique.</w:t>
      </w:r>
    </w:p>
    <w:p>
      <w:pPr>
        <w:pStyle w:val="Heading3"/>
      </w:pPr>
      <w:r>
        <w:t>CH5 Article 5</w:t>
      </w:r>
    </w:p>
    <w:p>
      <w:pPr>
        <w:keepNext w:val="0"/>
      </w:pPr>
      <w:r>
        <w:t>Nous signalons les citations ou typages contestés et nous en recherchons la cause. Nous répondons d’abord par une reprise de lecture ; si le problème persiste, nous réexaminons collectivement l’usage du passage.</w:t>
      </w:r>
    </w:p>
    <w:p>
      <w:pPr>
        <w:keepNext w:val="0"/>
      </w:pPr>
      <w:r>
        <w:rPr>
          <w:sz w:val="20"/>
        </w:rPr>
        <w:t>Principe d’Ostrom du prompt  5. Appuis  S1 ; S3 ; A5 ; F1. Règle  déontique.</w:t>
      </w:r>
    </w:p>
    <w:p>
      <w:pPr>
        <w:pStyle w:val="Heading3"/>
      </w:pPr>
      <w:r>
        <w:t>CH6 Article 6</w:t>
      </w:r>
    </w:p>
    <w:p>
      <w:pPr>
        <w:keepNext w:val="0"/>
      </w:pPr>
      <w:r>
        <w:t>Nous ouvrons à chacun un temps pour expliquer un désaccord et préciser son objet. Nous conservons les positions divergentes quand une réponse commune ne peut être établie.</w:t>
      </w:r>
    </w:p>
    <w:p>
      <w:pPr>
        <w:keepNext w:val="0"/>
      </w:pPr>
      <w:r>
        <w:rPr>
          <w:sz w:val="20"/>
        </w:rPr>
        <w:t>Principe d’Ostrom du prompt  6. Appuis  S1 ; S3 ; A3 ; A9. Règle  déontique.</w:t>
      </w:r>
    </w:p>
    <w:p>
      <w:pPr>
        <w:pStyle w:val="Heading3"/>
      </w:pPr>
      <w:r>
        <w:t>CH7 Article 7</w:t>
      </w:r>
    </w:p>
    <w:p>
      <w:pPr>
        <w:keepNext w:val="0"/>
      </w:pPr>
      <w:r>
        <w:t>Nous demandons que nos partenaires respectent cette possibilité de révision. Nous explicitons les contraintes qu’ils imposent et les points qu’elles laissent hors de notre décision.</w:t>
      </w:r>
    </w:p>
    <w:p>
      <w:pPr>
        <w:keepNext w:val="0"/>
      </w:pPr>
      <w:r>
        <w:rPr>
          <w:sz w:val="20"/>
        </w:rPr>
        <w:t>Principe d’Ostrom du prompt  7. Appuis  S1 ; S6 ; A5 ; A13. Règle  déontique.</w:t>
      </w:r>
    </w:p>
    <w:p>
      <w:pPr>
        <w:pStyle w:val="Heading3"/>
      </w:pPr>
      <w:r>
        <w:t>CH8 Article 8</w:t>
      </w:r>
    </w:p>
    <w:p>
      <w:pPr>
        <w:keepNext w:val="0"/>
      </w:pPr>
      <w:r>
        <w:t>Nous préparons une discussion avec les personnes concernées et d’autres collectifs. Nous ne savons pas encore si nos abstractions décrivent leurs expériences ; leurs réponses peuvent modifier notre texte.</w:t>
      </w:r>
    </w:p>
    <w:p>
      <w:pPr>
        <w:keepNext w:val="0"/>
      </w:pPr>
      <w:r>
        <w:rPr>
          <w:sz w:val="20"/>
        </w:rPr>
        <w:t>Principe d’Ostrom du prompt  8. Appuis  S2 ; S5 ; S6 ; A4 ; A12 ; A13. Règle  épistémique et bonne pratique.</w:t>
      </w:r>
    </w:p>
    <w:p>
      <w:pPr>
        <w:keepNext w:val="0"/>
      </w:pPr>
      <w:r>
        <w:t>CH8 contient deux énoncés distincts : une obligation de discuter, typée principe, et une indétermination sur l’adéquation des abstractions, reliée à une conjecture. Ce n’est pas un bi-typage caché de la même phrase. La révision à date fixe est remplacée ici par la prochaine séance réelle, dont la date reste à fixer par les membres. Les réponses graduées de CH5 concernent le travail de lecture ; aucune sanction personnelle n’est inventée.</w:t>
      </w:r>
    </w:p>
    <w:p>
      <w:pPr>
        <w:keepNext w:val="0"/>
      </w:pPr>
      <w:r>
        <w:t>Tensions déontiques à discuter  Le droit de demander une révision en CH3 peut rencontrer une obligation scientifique sur la validité d’un protocole. Le respect des règles en CH7 peut rencontrer une contrainte de partenaire. CH2 ne fixe ni contribution ni ressource chiffrée. Ces règles devront être précisées par le groupe réel avant toute adoption.</w:t>
      </w:r>
    </w:p>
    <w:p>
      <w:pPr>
        <w:pStyle w:val="Heading2"/>
      </w:pPr>
      <w:r>
        <w:t>Table logique entre base de lecture et charte</w:t>
      </w:r>
    </w:p>
    <w:tbl>
      <w:tblPr>
        <w:tblW w:type="auto" w:w="0"/>
        <w:tblLayout w:type="fixed"/>
        <w:tblLook w:firstColumn="1" w:firstRow="1" w:lastColumn="0" w:lastRow="0" w:noHBand="0" w:noVBand="1" w:val="04A0"/>
      </w:tblPr>
      <w:tblGrid>
        <w:gridCol w:w="1080"/>
        <w:gridCol w:w="1728"/>
        <w:gridCol w:w="6984"/>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Argument</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Hypostase source</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Traitement dans la charte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CH8 ; la question de terrain n’est pas résolue.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A2</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CH3 et CH6 comme possibilité de révision ; le mécanisme n’est pas déclaré prouvé.</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A3</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axiome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Repris en CH3 et CH6 sous forme de règles ; l’axiome devient une exigence de conduite.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A4</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définition</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CH1 et CH8 ; la définition complète reste dans le manuscrit.</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A5</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Repris en CH3 à CH7 ; la procédure précise reste à arrêter.</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A6</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théorie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Retiré de la charte comme explication ; conservé comme objet d’enquête.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A7</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théorie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CH4 : documenter les effets sans adopter la théorie comme certitude.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A8</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Retiré : cette charte concerne une révision éditoriale, pas une intervention territoriale.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A9</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structure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CH6 et CH8 ; la structure complète n’est pas une règle de charte.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A10</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hypothèse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CH2 comme examen de la charge.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A11</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définition</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Factorisé en CH2 et CH4 comme moyens de reprise.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A12</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conjecture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Repris comme question ouverte en CH4 et CH8 ; pas comme effet garanti.</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A13</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principe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Repris en CH1, CH7 et CH8.</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A14</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croyance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Retiré : la charte ne garantit aucun effet de la confiance.</w:t>
            </w:r>
          </w:p>
        </w:tc>
      </w:tr>
      <w:tr>
        <w:trPr>
          <w:cantSplit/>
        </w:trPr>
        <w:tc>
          <w:tcPr>
            <w:tcW w:type="dxa" w:w="108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Ajout</w:t>
            </w:r>
          </w:p>
        </w:tc>
        <w:tc>
          <w:tcPr>
            <w:tcW w:type="dxa" w:w="1728"/>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méthode</w:t>
            </w:r>
          </w:p>
        </w:tc>
        <w:tc>
          <w:tcPr>
            <w:tcW w:type="dxa" w:w="69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Ajout explicite en CH4 ; règle de préparation proposée ici.</w:t>
            </w:r>
          </w:p>
        </w:tc>
      </w:tr>
    </w:tbl>
    <w:p>
      <w:pPr>
        <w:keepNext w:val="0"/>
      </w:pPr>
    </w:p>
    <w:p>
      <w:pPr>
        <w:keepNext w:val="0"/>
      </w:pPr>
      <w:r>
        <w:t>Comptage distinct  La table de correspondance reprend 10 hypostases source sur trente. La charte emploie trois hypostases pour ses énoncés retenus : principe, méthode et conjecture. Les types retirés ou seulement présents dans le texte source ne sont pas comptés comme instanciés dans la charte.</w:t>
      </w:r>
    </w:p>
    <w:p>
      <w:pPr>
        <w:pStyle w:val="Heading2"/>
      </w:pPr>
      <w:r>
        <w:t>Questionnaire pour discuter la charte</w:t>
      </w:r>
    </w:p>
    <w:p>
      <w:pPr>
        <w:keepNext w:val="0"/>
      </w:pPr>
      <w:r>
        <w:t>Deux publics sont distingués : les membres du groupe de révision et les personnes concernées qui pourraient être invitées à en discuter les effets. Ces dernières n’ont pas à adopter une charte conçue sans elles. Toutes les questions restent ouvertes et comportent la possibilité de répondre « je ne sais pas ».</w:t>
      </w:r>
    </w:p>
    <w:p>
      <w:pPr>
        <w:keepNext w:val="0"/>
      </w:pPr>
      <w:r>
        <w:t>CH1 Groupe de révision  Que doit conserver notre groupe pour pouvoir reprendre cette lecture ? Réponse libre / je ne sais pas.</w:t>
      </w:r>
    </w:p>
    <w:p>
      <w:pPr>
        <w:keepNext w:val="0"/>
      </w:pPr>
      <w:r>
        <w:t>CH1 Personnes concernées  Quelles personnes ou dépendances manquent dans notre périmètre ? Réponse libre / je ne sais pas.</w:t>
      </w:r>
    </w:p>
    <w:p>
      <w:pPr>
        <w:keepNext w:val="0"/>
      </w:pPr>
      <w:r>
        <w:t>CH2 Groupe de révision  Quelle tâche peux-tu assumer avec les moyens disponibles ? Réponse libre / je ne sais pas.</w:t>
      </w:r>
    </w:p>
    <w:p>
      <w:pPr>
        <w:keepNext w:val="0"/>
      </w:pPr>
      <w:r>
        <w:t>CH2 Personnes concernées  Quelle charge cette manière d’enquêter pourrait-elle te demander ? Réponse libre / je ne sais pas.</w:t>
      </w:r>
    </w:p>
    <w:p>
      <w:pPr>
        <w:keepNext w:val="0"/>
      </w:pPr>
      <w:r>
        <w:t>CH3 Groupe de révision  Comment une objection a-t-elle changé notre travail ? Réponse libre / je ne sais pas.</w:t>
      </w:r>
    </w:p>
    <w:p>
      <w:pPr>
        <w:keepNext w:val="0"/>
      </w:pPr>
      <w:r>
        <w:t>CH3 Personnes concernées  Comment voudrais-tu pouvoir demander une révision ? Réponse libre / je ne sais pas.</w:t>
      </w:r>
    </w:p>
    <w:p>
      <w:pPr>
        <w:keepNext w:val="0"/>
      </w:pPr>
      <w:r>
        <w:t>CH4 Groupe de révision  Quelles traces nous permettent de vérifier notre récit de révision ? Réponse libre / je ne sais pas.</w:t>
      </w:r>
    </w:p>
    <w:p>
      <w:pPr>
        <w:keepNext w:val="0"/>
      </w:pPr>
      <w:r>
        <w:t>CH4 Personnes concernées  Quelle trace d’un désaccord te semblerait utile à conserver ? Réponse libre / je ne sais pas.</w:t>
      </w:r>
    </w:p>
    <w:p>
      <w:pPr>
        <w:keepNext w:val="0"/>
      </w:pPr>
      <w:r>
        <w:t>CH5 Groupe de révision  Comment traiterions-nous une erreur qui persiste après relecture ? Réponse libre / je ne sais pas.</w:t>
      </w:r>
    </w:p>
    <w:p>
      <w:pPr>
        <w:keepNext w:val="0"/>
      </w:pPr>
      <w:r>
        <w:t>CH5 Personnes concernées  Comment souhaiterais-tu qu’une interprétation contestée soit reprise ? Réponse libre / je ne sais pas.</w:t>
      </w:r>
    </w:p>
    <w:p>
      <w:pPr>
        <w:keepNext w:val="0"/>
      </w:pPr>
      <w:r>
        <w:t>CH6 Groupe de révision  Sur quoi porte notre désaccord actuel ? Réponse libre / je ne sais pas.</w:t>
      </w:r>
    </w:p>
    <w:p>
      <w:pPr>
        <w:keepNext w:val="0"/>
      </w:pPr>
      <w:r>
        <w:t>CH6 Personnes concernées  Quel désaccord voudrais-tu pouvoir expliquer dans cette enquête ? Réponse libre / je ne sais pas.</w:t>
      </w:r>
    </w:p>
    <w:p>
      <w:pPr>
        <w:keepNext w:val="0"/>
      </w:pPr>
      <w:r>
        <w:t>CH7 Groupe de révision  Quelle contrainte extérieure limite notre décision ? Réponse libre / je ne sais pas.</w:t>
      </w:r>
    </w:p>
    <w:p>
      <w:pPr>
        <w:keepNext w:val="0"/>
      </w:pPr>
      <w:r>
        <w:t>CH7 Personnes concernées  Quel interlocuteur devrait répondre d’une contrainte qui t’affecte ? Réponse libre / je ne sais pas.</w:t>
      </w:r>
    </w:p>
    <w:p>
      <w:pPr>
        <w:keepNext w:val="0"/>
      </w:pPr>
      <w:r>
        <w:t>CH8 Groupe de révision  Qu’est-ce qu’une discussion avec un autre collectif a changé dans notre texte ? Réponse libre / je ne sais pas.</w:t>
      </w:r>
    </w:p>
    <w:p>
      <w:pPr>
        <w:keepNext w:val="0"/>
      </w:pPr>
      <w:r>
        <w:t>CH8 Personnes concernées  Qu’est-ce que notre texte permet de discuter de ton expérience ? Réponse libre / je ne sais pas.</w:t>
      </w:r>
    </w:p>
    <w:p>
      <w:pPr>
        <w:pStyle w:val="Heading1"/>
      </w:pPr>
      <w:r>
        <w:t>6 Cas particulier de la pièce</w:t>
      </w:r>
    </w:p>
    <w:p>
      <w:pPr>
        <w:keepNext w:val="0"/>
      </w:pPr>
      <w:r>
        <w:t>La pièce retenue est une lecture d’article entre chercheurs. Les six saynètes scolaires, les expériences de pensée et la petite grille pour enfants ne s’appliquent pas. Leur absence ne modifie pas le périmètre choisi ; aucun public enfant ni protocole géométrique n’est inventé pour ce manuscrit.</w:t>
      </w:r>
    </w:p>
    <w:p>
      <w:pPr>
        <w:pStyle w:val="Heading1"/>
      </w:pPr>
      <w:r>
        <w:t>7 Registre de la simulation</w:t>
      </w:r>
    </w:p>
    <w:tbl>
      <w:tblPr>
        <w:tblW w:type="auto" w:w="0"/>
        <w:tblLayout w:type="fixed"/>
        <w:tblLook w:firstColumn="1" w:firstRow="1" w:lastColumn="0" w:lastRow="0" w:noHBand="0" w:noVBand="1" w:val="04A0"/>
      </w:tblPr>
      <w:tblGrid>
        <w:gridCol w:w="2160"/>
        <w:gridCol w:w="7632"/>
      </w:tblGrid>
      <w:tr>
        <w:trPr>
          <w:cantSplit/>
          <w:tblHeader/>
        </w:trPr>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Rubrique</w:t>
            </w:r>
          </w:p>
        </w:tc>
        <w:tc>
          <w:tcPr>
            <w:tcW w:type="dxa" w:w="48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Trace conservée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P1</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cinq personnages examinent les propositions entre eux. Ce fonctionnement est mis en scène ; aucune intelligence collective réelle n’est mesurée.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P2</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Tous les personnages fictifs prennent la parole ; D01 et D06 commencent par une imitation, puis les objections sont distinguées. Les habitants et autres absents restent absents. P2 n’est pas validé.</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P3</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Les causes et effets attendus restent ouverts ; CH8 indique ce que le groupe ne sait pas. Aucune preuve absolue de la décision éditoriale n’est annoncée.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Conjecture du prompt</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L’augmentation de la viabilité par le débat n’est pas testée. Ce carnet ne comporte pas de mesure de viabilité ni de comparaison réelle.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Verdicts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Douze annotations fictives sur S1 à S6 : six déjà dit et six inédit et créatif ; six sur F1 à F3 : trois de chaque sorte. Aucun visiblement faux. Les désaccords sont conservés ; aucun score de qualité n’est calculé.</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Termes proposés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Constitution de l’enquête ; représentation tenue de répondre ; réciprocité de l’épreuve ; maintenance des capacités ; comparabilité des transformations ; responsabilité attachée aux moyens.</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Autocorrection</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U31 reçoit principe seul, contrairement au double typage proposé précédemment. Les typages restent soumis à relecture.</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Décision</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Préparer une révision, conserver les objections et préciser les conditions de mise à l’épreuve ; décision fictive, sans adoption par un groupe réel.</w:t>
            </w:r>
          </w:p>
        </w:tc>
      </w:tr>
      <w:tr>
        <w:trPr>
          <w:cantSplit/>
        </w:trPr>
        <w:tc>
          <w:tcPr>
            <w:tcW w:type="dxa" w:w="216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Questions ouvertes</w:t>
            </w:r>
          </w:p>
        </w:tc>
        <w:tc>
          <w:tcPr>
            <w:tcW w:type="dxa" w:w="76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Traitement d’un refus ; représentation des absents ; moyens de maintien ; preuves d’apprentissage entre collectifs ; limites de la confiance.</w:t>
            </w:r>
          </w:p>
        </w:tc>
      </w:tr>
    </w:tbl>
    <w:p>
      <w:pPr>
        <w:keepNext w:val="0"/>
      </w:pPr>
    </w:p>
    <w:p>
      <w:pPr>
        <w:pStyle w:val="Heading1"/>
      </w:pPr>
      <w:r>
        <w:t>8 Préparation de la séance réelle</w:t>
      </w:r>
    </w:p>
    <w:tbl>
      <w:tblPr>
        <w:tblW w:type="auto" w:w="0"/>
        <w:tblLayout w:type="fixed"/>
        <w:tblLook w:firstColumn="1" w:firstRow="1" w:lastColumn="0" w:lastRow="0" w:noHBand="0" w:noVBand="1" w:val="04A0"/>
      </w:tblPr>
      <w:tblGrid>
        <w:gridCol w:w="3384"/>
        <w:gridCol w:w="1224"/>
        <w:gridCol w:w="5184"/>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Temps prévu</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Durée</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Objet</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Instant de voir</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14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Lire les douze unités et signaler les difficultés du texte.</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Comprendre et six pauses</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36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Six séquences de quatre minutes de discussion et deux minutes pour Hypostasia.</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Juger les six abstractions</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12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Deux minutes par proposition ; garder les verdicts distincts.</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Concevoir et conclure</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18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Reprendre F1 à F3 ; discuter une architecture éditoriale et la charte.</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Consigner</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10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Compléter les durées réelles, les erreurs, les voix et les questions ouvertes.</w:t>
            </w:r>
          </w:p>
        </w:tc>
      </w:tr>
      <w:tr>
        <w:trPr>
          <w:cantSplit/>
        </w:trPr>
        <w:tc>
          <w:tcPr>
            <w:tcW w:type="dxa" w:w="33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Total</w:t>
            </w:r>
          </w:p>
        </w:tc>
        <w:tc>
          <w:tcPr>
            <w:tcW w:type="dxa" w:w="122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90 min</w:t>
            </w:r>
          </w:p>
        </w:tc>
        <w:tc>
          <w:tcPr>
            <w:tcW w:type="dxa" w:w="518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Temps estimé ; la séance réelle corrigera ces durées.</w:t>
            </w:r>
          </w:p>
        </w:tc>
      </w:tr>
    </w:tbl>
    <w:p>
      <w:pPr>
        <w:keepNext w:val="0"/>
      </w:pPr>
    </w:p>
    <w:p>
      <w:pPr>
        <w:keepNext w:val="0"/>
      </w:pPr>
      <w:r>
        <w:t>Le document entier dépasse le temps consacré à sa lecture en séance. Sa lecture préalable est donc une condition de cette préparation. Les unités choisies privilégient les exigences, les points incertains et les implications méthodologiques ; elles ne remplacent pas le manuscrit.</w:t>
      </w:r>
    </w:p>
    <w:tbl>
      <w:tblPr>
        <w:tblW w:type="auto" w:w="0"/>
        <w:tblLayout w:type="fixed"/>
        <w:tblLook w:firstColumn="1" w:firstRow="1" w:lastColumn="0" w:lastRow="0" w:noHBand="0" w:noVBand="1" w:val="04A0"/>
      </w:tblPr>
      <w:tblGrid>
        <w:gridCol w:w="1440"/>
        <w:gridCol w:w="4032"/>
        <w:gridCol w:w="4320"/>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Pause</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Mots de l’intervention</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Durée de lecture estimée</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S1</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210</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1.6 min</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S2</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224</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1.7 min</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S3</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223</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1.7 min</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S4</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228</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1.8 min</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S5</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230</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1.8 min</w:t>
            </w:r>
          </w:p>
        </w:tc>
      </w:tr>
      <w:tr>
        <w:trPr>
          <w:cantSplit/>
        </w:trPr>
        <w:tc>
          <w:tcPr>
            <w:tcW w:type="dxa" w:w="144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S6</w:t>
            </w:r>
          </w:p>
        </w:tc>
        <w:tc>
          <w:tcPr>
            <w:tcW w:type="dxa" w:w="403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238</w:t>
            </w:r>
          </w:p>
        </w:tc>
        <w:tc>
          <w:tcPr>
            <w:tcW w:type="dxa" w:w="4320"/>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1.8 min</w:t>
            </w:r>
          </w:p>
        </w:tc>
      </w:tr>
    </w:tbl>
    <w:p>
      <w:pPr>
        <w:keepNext w:val="0"/>
      </w:pPr>
    </w:p>
    <w:p>
      <w:pPr>
        <w:keepNext w:val="0"/>
      </w:pPr>
      <w:r>
        <w:t>Passages à expliquer  Les croisements formels, l’égalité comme axiome, le rhizome, la non-prescription des instruments et la déprise demandent des explications. La colonne laisse ouvert et les exemples concrets peuvent aider un lecteur non spécialiste.</w:t>
      </w:r>
    </w:p>
    <w:p>
      <w:pPr>
        <w:keepNext w:val="0"/>
      </w:pPr>
      <w:r>
        <w:t>Erreurs de l’IA à guetter  Un conditionnel devenu certitude ; une obligation typée comme procédure sans appui ; une émotion supposée au nom d’un habitant ; une autorité traitée comme preuve ; une histoire de trajectoire considérée comme exhaustive ; un verdict fictif pris pour une validation humaine.</w:t>
      </w:r>
    </w:p>
    <w:p>
      <w:pPr>
        <w:keepNext w:val="0"/>
      </w:pPr>
      <w:r>
        <w:t>Anomalies du prompt et du manuel  Le prompt réclame des verdicts de personnages en mode A tout en réservant les verdicts aux humains : la distinction fiction/séance réelle doit rester explicite. La factorisation et la diagonalisation sont décrites sans algorithme déterministe ni preuve d’unicité. Le manuel, section 8.6, compte dans la charte un invariant qu’il indique comme retiré ; cette lecture sépare les hypostases source et celles réellement retenues. La définition morale de valeur reste une proposition à trancher par l’auteur ; aucune valeur n’est attribuée automatiquement ici.</w:t>
      </w:r>
    </w:p>
    <w:p>
      <w:pPr>
        <w:keepNext w:val="0"/>
      </w:pPr>
      <w:r>
        <w:t>Sources à rassembler  Les références exactes des affirmations sur les Living Labs, les fermes écoles et ComMod ; les passages des auteurs philosophiques effectivement mobilisés ; des traces de décisions et de reprises après retrait ; des récits discutés avec les habitants ; une reprise réelle d’une trajectoire par un autre collectif. Ces matériaux sont demandés pour une mise à l’épreuve, sans être présentés comme déjà disponibles.</w:t>
      </w:r>
    </w:p>
    <w:p>
      <w:pPr>
        <w:pStyle w:val="Heading1"/>
      </w:pPr>
      <w:r>
        <w:t>9 Limites de ce carnet</w:t>
      </w:r>
    </w:p>
    <w:p>
      <w:pPr>
        <w:keepNext w:val="0"/>
      </w:pPr>
      <w:r>
        <w:t>Les citations sont ancrées dans le manuscrit fourni ; les hypothèses, types et regroupements sont des propositions de lecture. Les voix, les échanges, les verdicts et les décisions sont écrits par l’IA. La simulation peut préparer une réunion, mais elle ne démontre ni l’écoute d’une communauté, ni l’émancipation de ses membres, ni les effets scientifiques de la réflexivité.</w:t>
      </w:r>
    </w:p>
    <w:p>
      <w:pPr>
        <w:keepNext w:val="0"/>
      </w:pPr>
      <w:r>
        <w:t>Le public, les lieux et les durées sont imaginés. Aucun acteur réel n’a jugé S1 à S6 dans ce carnet. Les phrases historiques et les références du manuscrit ne sont pas vérifiées à partir de sources extérieures. Aucun chiffre empirique, financement, terrain ou témoignage nouveau n’est ajouté. Le critère de viabilité du prompt reste un horizon, sans mesure dans cette lecture.</w:t>
      </w:r>
    </w:p>
    <w:p>
      <w:pPr>
        <w:keepNext w:val="0"/>
      </w:pPr>
      <w:r>
        <w:t>Les arguments principaux des 92 unités sont analysés ; leurs exemples et leurs appuis secondaires restent lisibles dans les unités reproduites ou dans le PDF. Cette granularité doit être contrôlée par les lecteurs, notamment si une phrase porte plusieurs assertions. Une couverture du texte n’est pas une preuve de complétude du débat.</w:t>
      </w:r>
    </w:p>
    <w:p>
      <w:pPr>
        <w:pStyle w:val="Heading1"/>
      </w:pPr>
      <w:r>
        <w:t>10 Sources et documents de référence</w:t>
      </w:r>
    </w:p>
    <w:p>
      <w:pPr>
        <w:keepNext w:val="0"/>
      </w:pPr>
      <w:r>
        <w:t>Manuscrit fourni : positionnement_cirad_LL-2(1).pdf, Beyond Real-World Experimentation Reclaiming the Living in Environmental Living Labs, 17 pages ; date non indiquée. Adresse locale de référence : upload/positionnement_cirad_LL-2(1).pdf.</w:t>
      </w:r>
    </w:p>
    <w:p>
      <w:pPr>
        <w:keepNext w:val="0"/>
      </w:pPr>
      <w:r>
        <w:t>Prompt Hypostasia version 3 fourni en Markdown : upload/Markdown collé.md. Son corps correspond, à la mise en forme près, à celui du Word précédemment joint. Les champs non remplis de la fiche ont été renseignés comme hypothèses de simulation.</w:t>
      </w:r>
    </w:p>
    <w:p>
      <w:pPr>
        <w:keepNext w:val="0"/>
      </w:pPr>
      <w:r>
        <w:t>Manuel utilisateur d’Hypostasia version 3 fourni : upload/Manuel utilisateur d'Hypostasia — version 3.pdf, 18 pages ; notamment sections 3 à 5, 7 à 10 et 12 à 14.</w:t>
      </w:r>
    </w:p>
    <w:p>
      <w:pPr>
        <w:keepNext w:val="0"/>
      </w:pPr>
      <w:r>
        <w:t>Synthèse précédente : output/Synthese_Hypostasia_laboratoires_habites.docx, version initiale ; utilisée pour identifier l’autocorrection et les reprises fictives D01 et D06. La présente version complète la remplace dans le même document.</w:t>
      </w:r>
    </w:p>
    <w:p>
      <w:pPr>
        <w:keepNext w:val="0"/>
      </w:pPr>
      <w:r>
        <w:t>Aucune source web n’a été consultée pour produire ce carnet. Les références bibliographiques à contrôler sont listées en rubrique 8.</w:t>
      </w:r>
    </w:p>
    <w:p>
      <w:r>
        <w:br w:type="page"/>
      </w:r>
    </w:p>
    <w:p>
      <w:pPr>
        <w:pStyle w:val="Heading1"/>
      </w:pPr>
      <w:r>
        <w:t>Annexe A Texte et analyse des 92 unités</w:t>
      </w:r>
    </w:p>
    <w:p>
      <w:pPr>
        <w:keepNext w:val="0"/>
      </w:pPr>
      <w:r>
        <w:t>Rôle décor. Les douze unités choisies sont reproduites intégralement. Pour chacune des autres, le premier et le dernier mot sont conservés comme repère, selon la fiche. Chaque argument principal est cité avant son typage ; les renvois aux pages concernent cette citation. Le mode discuté est employé par défaut. Rouge et bleu ne disqualifient pas un passage : ils rendent explicites les affects évoqués et les appuis nominaux à examiner.</w:t>
      </w:r>
    </w:p>
    <w:p>
      <w:pPr>
        <w:keepNext w:val="0"/>
      </w:pPr>
      <w:r>
        <w:t>Lecture des renvois  Les croisements NR et NP sont développés dans la table du cadre formel. La justification du type est donnée ci-dessous ; l’épreuve et ce qui reste ouvert sont précisés sous l’argument premier A auquel l’unité est rattachée. Ces renvois évitent de répéter les mêmes développements sous plusieurs unités.</w:t>
      </w:r>
    </w:p>
    <w:p>
      <w:pPr>
        <w:keepNext w:val="0"/>
      </w:pPr>
      <w:r>
        <w:rPr>
          <w:sz w:val="20"/>
        </w:rPr>
        <w:t>Problème  Une difficulté de qualification ou d’action reste ouverte ; sa résolution ne découle pas des seuls constats.</w:t>
      </w:r>
    </w:p>
    <w:p>
      <w:pPr>
        <w:keepNext w:val="0"/>
      </w:pPr>
      <w:r>
        <w:rPr>
          <w:sz w:val="20"/>
        </w:rPr>
        <w:t>Principe  Le passage pose une exigence de conduite ou de légitimité. Une observation, à elle seule, ne démontre pas cette obligation.</w:t>
      </w:r>
    </w:p>
    <w:p>
      <w:pPr>
        <w:keepNext w:val="0"/>
      </w:pPr>
      <w:r>
        <w:rPr>
          <w:sz w:val="20"/>
        </w:rPr>
        <w:t>Donnée  Une information est admise dans l’exposé, parfois sur la base de la littérature. Elle ne devient pas pour autant un résultat vérifié ici.</w:t>
      </w:r>
    </w:p>
    <w:p>
      <w:pPr>
        <w:keepNext w:val="0"/>
      </w:pPr>
      <w:r>
        <w:rPr>
          <w:sz w:val="20"/>
        </w:rPr>
        <w:t>Hypothèse  Le passage propose une possibilité ou un mécanisme dont les conditions et les effets restent à éprouver.</w:t>
      </w:r>
    </w:p>
    <w:p>
      <w:pPr>
        <w:keepNext w:val="0"/>
      </w:pPr>
      <w:r>
        <w:rPr>
          <w:sz w:val="20"/>
        </w:rPr>
        <w:t>Définition  Le passage fixe les caractères d’un concept ou d’un critère ; son application appelle des cas et des limites explicites.</w:t>
      </w:r>
    </w:p>
    <w:p>
      <w:pPr>
        <w:keepNext w:val="0"/>
      </w:pPr>
      <w:r>
        <w:rPr>
          <w:sz w:val="20"/>
        </w:rPr>
        <w:t>Méthode  Le passage indique une conduite de l’enquête ou des opérations à effectuer ; leur pertinence dépend de leur mise en œuvre.</w:t>
      </w:r>
    </w:p>
    <w:p>
      <w:pPr>
        <w:keepNext w:val="0"/>
      </w:pPr>
      <w:r>
        <w:rPr>
          <w:sz w:val="20"/>
        </w:rPr>
        <w:t>Structure  Le passage organise des parties et leurs relations ; cette organisation n’est pas démontrée comme unique ou exhaustive.</w:t>
      </w:r>
    </w:p>
    <w:p>
      <w:pPr>
        <w:keepNext w:val="0"/>
      </w:pPr>
      <w:r>
        <w:rPr>
          <w:sz w:val="20"/>
        </w:rPr>
        <w:t>Conjecture  Le passage avance une possibilité non vérifiée, notamment un résultat ou une circulation à venir.</w:t>
      </w:r>
    </w:p>
    <w:p>
      <w:pPr>
        <w:keepNext w:val="0"/>
      </w:pPr>
      <w:r>
        <w:rPr>
          <w:sz w:val="20"/>
        </w:rPr>
        <w:t>Axiome  Une condition est admise au départ du dispositif. Son affirmation se distingue de son exercice effectif.</w:t>
      </w:r>
    </w:p>
    <w:p>
      <w:pPr>
        <w:keepNext w:val="0"/>
      </w:pPr>
      <w:r>
        <w:rPr>
          <w:sz w:val="20"/>
        </w:rPr>
        <w:t>Théorie  Le passage propose un cadre explicatif reliant des instruments, des relations ou des apprentissages ; il ne fournit pas de démonstration générale.</w:t>
      </w:r>
    </w:p>
    <w:p>
      <w:pPr>
        <w:keepNext w:val="0"/>
      </w:pPr>
      <w:r>
        <w:rPr>
          <w:sz w:val="20"/>
        </w:rPr>
        <w:t>Croyance  Le passage présente une assurance que cette lecture ne peut établir. Le registre conserve son affirmation sans la transformer en preuve.</w:t>
      </w:r>
    </w:p>
    <w:p>
      <w:pPr>
        <w:keepNext w:val="0"/>
      </w:pPr>
      <w:r>
        <w:t>Règle commune aux couleurs  Une évocation d’affect ne devient pas un témoignage habitant. Un appui nominal ne devient pas une preuve. Quand aucun signalement rouge ou bleu n’est indiqué, l’unité ne fournit ni affect directement exprimé par une personne identifiée ni appui nominal explicite.</w:t>
      </w:r>
    </w:p>
    <w:p>
      <w:pPr>
        <w:pStyle w:val="Heading2"/>
      </w:pPr>
      <w:r>
        <w:t>U01 Section Introduction</w:t>
      </w:r>
    </w:p>
    <w:p>
      <w:pPr>
        <w:keepNext/>
      </w:pPr>
      <w:r>
        <w:rPr>
          <w:sz w:val="20"/>
        </w:rPr>
        <w:t>Repère  « Les … incertains. » ; 99 mots.</w:t>
      </w:r>
    </w:p>
    <w:p>
      <w:pPr>
        <w:keepNext/>
      </w:pPr>
      <w:r>
        <w:rPr>
          <w:i/>
        </w:rPr>
        <w:t>Argument principal  « Les problèmes eux-mêmes restent souvent à qualifier : leurs limites sont discutées, leurs causes disputées, leurs conséquences inégalement distribuées et les futurs auxquels ils conduisent restent incertains. »</w:t>
      </w:r>
    </w:p>
    <w:p>
      <w:pPr>
        <w:keepNext w:val="0"/>
      </w:pPr>
      <w:r>
        <w:rPr>
          <w:sz w:val="20"/>
        </w:rPr>
        <w:t>Page 1 ; problème [NR AF / NP DE] ; discuté. Épreuve et laisse ouvert  A1.</w:t>
      </w:r>
    </w:p>
    <w:p>
      <w:pPr>
        <w:pStyle w:val="Heading2"/>
      </w:pPr>
      <w:r>
        <w:t>U02 Section Introduction</w:t>
      </w:r>
    </w:p>
    <w:p>
      <w:pPr>
        <w:keepNext/>
      </w:pPr>
      <w:r>
        <w:rPr>
          <w:sz w:val="20"/>
        </w:rPr>
        <w:t>Repère  « Agir … envisagées. » ; 23 mots.</w:t>
      </w:r>
    </w:p>
    <w:p>
      <w:pPr>
        <w:keepNext/>
      </w:pPr>
      <w:r>
        <w:rPr>
          <w:i/>
        </w:rPr>
        <w:t>Argument principal  « Agir suppose alors de pouvoir enquêter collectivement sur ce qui arrive, d’éprouver différentes interprétations et de rendre discutables les conséquences des interventions envisagées. »</w:t>
      </w:r>
    </w:p>
    <w:p>
      <w:pPr>
        <w:keepNext w:val="0"/>
      </w:pPr>
      <w:r>
        <w:rPr>
          <w:sz w:val="20"/>
        </w:rPr>
        <w:t>Page 1 ; principe [NR DF / NP IE] ; discuté. Épreuve et laisse ouvert  A1.</w:t>
      </w:r>
    </w:p>
    <w:p>
      <w:pPr>
        <w:pStyle w:val="Heading2"/>
      </w:pPr>
      <w:r>
        <w:t>U03 Section Introduction</w:t>
      </w:r>
    </w:p>
    <w:p>
      <w:pPr>
        <w:keepNext/>
      </w:pPr>
      <w:r>
        <w:rPr>
          <w:sz w:val="20"/>
        </w:rPr>
        <w:t>Repère  « C’est … environnementales. » ; 94 mots.</w:t>
      </w:r>
    </w:p>
    <w:p>
      <w:pPr>
        <w:keepNext/>
      </w:pPr>
      <w:r>
        <w:rPr>
          <w:i/>
        </w:rPr>
        <w:t>Argument principal  « Issus des approches d’innovation ouverte et centrée sur les utilisateurs, ils proposent de déplacer l’expérimentation hors des espaces confinés de recherche et développement pour l’inscrire dans des situations dites « réelles », en associant utilisateurs, chercheurs, entreprises, institutions et autres parties prenantes aux processus d’innovation (Leminen, Westerlund &amp; Nyström, 2012 ; Hossain et al., 2019). »</w:t>
      </w:r>
    </w:p>
    <w:p>
      <w:pPr>
        <w:keepNext w:val="0"/>
      </w:pPr>
      <w:r>
        <w:rPr>
          <w:sz w:val="20"/>
        </w:rPr>
        <w:t>Page 1 ; donnée [NR AE / NP IF] ; discuté. Épreuve et laisse ouvert  A1.</w:t>
      </w:r>
    </w:p>
    <w:p>
      <w:pPr>
        <w:keepNext w:val="0"/>
      </w:pPr>
      <w:r>
        <w:rPr>
          <w:sz w:val="20"/>
        </w:rPr>
        <w:t>Bleu  Leminen, Hossain à vérifier.</w:t>
      </w:r>
    </w:p>
    <w:p>
      <w:pPr>
        <w:pStyle w:val="Heading2"/>
      </w:pPr>
      <w:r>
        <w:t>U04 Section Introduction</w:t>
      </w:r>
    </w:p>
    <w:p>
      <w:pPr>
        <w:keepNext/>
      </w:pPr>
      <w:r>
        <w:rPr>
          <w:sz w:val="20"/>
        </w:rPr>
        <w:t>Repère  « L’ambition … 2019). » ; 70 mots.</w:t>
      </w:r>
    </w:p>
    <w:p>
      <w:pPr>
        <w:keepNext/>
      </w:pPr>
      <w:r>
        <w:rPr>
          <w:i/>
        </w:rPr>
        <w:t>Argument principal  « La littérature souligne cependant la diversité des dispositifs regroupés sous cette appellation et la difficulté persistante à stabiliser ce que constitue exactement un Living Lab (Hossain et al., 2019). »</w:t>
      </w:r>
    </w:p>
    <w:p>
      <w:pPr>
        <w:keepNext w:val="0"/>
      </w:pPr>
      <w:r>
        <w:rPr>
          <w:sz w:val="20"/>
        </w:rPr>
        <w:t>Page 1 ; donnée [NR AE / NP IF] ; discuté. Épreuve et laisse ouvert  A1.</w:t>
      </w:r>
    </w:p>
    <w:p>
      <w:pPr>
        <w:keepNext w:val="0"/>
      </w:pPr>
      <w:r>
        <w:rPr>
          <w:sz w:val="20"/>
        </w:rPr>
        <w:t>Bleu  Hossain à vérifier.</w:t>
      </w:r>
    </w:p>
    <w:p>
      <w:pPr>
        <w:pStyle w:val="Heading2"/>
      </w:pPr>
      <w:r>
        <w:t>U05 Section Introduction</w:t>
      </w:r>
    </w:p>
    <w:p>
      <w:pPr>
        <w:keepNext/>
      </w:pPr>
      <w:r>
        <w:t>Unité lue  Cette indétermination révèle une ambiguïté plus profonde. Faire sortir le laboratoire dans le monde réel ne suffit pas nécessairement à transformer la relation entre le laboratoire et le monde. Le territoire peut rester conçu comme un environnement de test dans lequel une question, une technologie, un protocole ou une solution définis ailleurs viennent être confrontés à la complexité du réel. Les habitants deviennent alors utilisateurs, testeurs, informateurs ou bénéficiaires d’une innovation dont les principaux termes ont déjà été fixés. La participation peut être réelle sans que soient nécessairement redistribués le pouvoir de définir le problème, de choisir ce qui mérite d’être observé, de modifier le protocole ou d’interpréter les résultats.</w:t>
      </w:r>
    </w:p>
    <w:p>
      <w:pPr>
        <w:keepNext/>
      </w:pPr>
      <w:r>
        <w:rPr>
          <w:i/>
        </w:rPr>
        <w:t>Argument principal  « La participation peut être réelle sans que soient nécessairement redistribués le pouvoir de définir le problème, de choisir ce qui mérite d’être observé, de modifier le protocole ou d’interpréter les résultats. »</w:t>
      </w:r>
    </w:p>
    <w:p>
      <w:pPr>
        <w:keepNext w:val="0"/>
      </w:pPr>
      <w:r>
        <w:rPr>
          <w:sz w:val="20"/>
        </w:rPr>
        <w:t>Page 1 à 2 ; hypothèse [NR AF / NP IE] ; discuté. Épreuve et laisse ouvert  A2.</w:t>
      </w:r>
    </w:p>
    <w:p>
      <w:pPr>
        <w:pStyle w:val="Heading2"/>
      </w:pPr>
      <w:r>
        <w:t>U06 Section Introduction</w:t>
      </w:r>
    </w:p>
    <w:p>
      <w:pPr>
        <w:keepNext/>
      </w:pPr>
      <w:r>
        <w:rPr>
          <w:sz w:val="20"/>
        </w:rPr>
        <w:t>Repère  « Plusieurs … participants. » ; 45 mots.</w:t>
      </w:r>
    </w:p>
    <w:p>
      <w:pPr>
        <w:keepNext/>
      </w:pPr>
      <w:r>
        <w:rPr>
          <w:i/>
        </w:rPr>
        <w:t>Argument principal  « Plusieurs travaux récents sur les Living Labs soulignent précisément la persistance de ces asymétries, les tensions entre objectifs d’innovation et participation, ainsi que le risque que les impératifs du projet, de ses résultats et de ses livrables l’emportent sur l’ouverture effective de l’expérimentation aux participants. »</w:t>
      </w:r>
    </w:p>
    <w:p>
      <w:pPr>
        <w:keepNext w:val="0"/>
      </w:pPr>
      <w:r>
        <w:rPr>
          <w:sz w:val="20"/>
        </w:rPr>
        <w:t>Page 2 ; donnée [NR AE / NP IF] ; discuté. Épreuve et laisse ouvert  A1.</w:t>
      </w:r>
    </w:p>
    <w:p>
      <w:pPr>
        <w:pStyle w:val="Heading2"/>
      </w:pPr>
      <w:r>
        <w:t>U07 Section Introduction</w:t>
      </w:r>
    </w:p>
    <w:p>
      <w:pPr>
        <w:keepNext/>
      </w:pPr>
      <w:r>
        <w:rPr>
          <w:sz w:val="20"/>
        </w:rPr>
        <w:t>Repère  « Le … implantée. » ; 107 mots.</w:t>
      </w:r>
    </w:p>
    <w:p>
      <w:pPr>
        <w:keepNext/>
      </w:pPr>
      <w:r>
        <w:rPr>
          <w:i/>
        </w:rPr>
        <w:t>Argument principal  « Il concerne la souveraineté sur l’expérimentation : qui est autorisé à dire quel est le problème ? »</w:t>
      </w:r>
    </w:p>
    <w:p>
      <w:pPr>
        <w:keepNext w:val="0"/>
      </w:pPr>
      <w:r>
        <w:rPr>
          <w:sz w:val="20"/>
        </w:rPr>
        <w:t>Page 2 ; problème [NR AF / NP DE] ; discuté. Épreuve et laisse ouvert  A1.</w:t>
      </w:r>
    </w:p>
    <w:p>
      <w:pPr>
        <w:keepNext w:val="0"/>
      </w:pPr>
      <w:r>
        <w:rPr>
          <w:sz w:val="20"/>
        </w:rPr>
        <w:t>Bleu  FAO à vérifier.</w:t>
      </w:r>
    </w:p>
    <w:p>
      <w:pPr>
        <w:pStyle w:val="Heading2"/>
      </w:pPr>
      <w:r>
        <w:t>U08 Section Introduction</w:t>
      </w:r>
    </w:p>
    <w:p>
      <w:pPr>
        <w:keepNext/>
      </w:pPr>
      <w:r>
        <w:rPr>
          <w:sz w:val="20"/>
        </w:rPr>
        <w:t>Repère  « Il … milieu. » ; 78 mots.</w:t>
      </w:r>
    </w:p>
    <w:p>
      <w:pPr>
        <w:keepNext/>
      </w:pPr>
      <w:r>
        <w:rPr>
          <w:i/>
        </w:rPr>
        <w:t>Argument principal  « Il est un milieu habité, constitué de relations et de dépendances entre des personnes, des pratiques, des infrastructures, des eaux, des sols, des animaux, des végétaux et des institutions. »</w:t>
      </w:r>
    </w:p>
    <w:p>
      <w:pPr>
        <w:keepNext w:val="0"/>
      </w:pPr>
      <w:r>
        <w:rPr>
          <w:sz w:val="20"/>
        </w:rPr>
        <w:t>Page 2 ; définition [NR AF / NP AE] ; discuté. Épreuve et laisse ouvert  A4.</w:t>
      </w:r>
    </w:p>
    <w:p>
      <w:pPr>
        <w:pStyle w:val="Heading2"/>
      </w:pPr>
      <w:r>
        <w:t>U09 Section Introduction</w:t>
      </w:r>
    </w:p>
    <w:p>
      <w:pPr>
        <w:keepNext/>
      </w:pPr>
      <w:r>
        <w:rPr>
          <w:sz w:val="20"/>
        </w:rPr>
        <w:t>Repère  « Nous … ». » ; 119 mots.</w:t>
      </w:r>
    </w:p>
    <w:p>
      <w:pPr>
        <w:keepNext/>
      </w:pPr>
      <w:r>
        <w:rPr>
          <w:i/>
        </w:rPr>
        <w:t>Argument principal  « Le lab désigne la possibilité d’instrumenter une question, de comparer, mesurer, modéliser, simuler, essayer, échouer et recommencer. »</w:t>
      </w:r>
    </w:p>
    <w:p>
      <w:pPr>
        <w:keepNext w:val="0"/>
      </w:pPr>
      <w:r>
        <w:rPr>
          <w:sz w:val="20"/>
        </w:rPr>
        <w:t>Page 2 ; définition [NR AF / NP AE] ; discuté. Épreuve et laisse ouvert  A4.</w:t>
      </w:r>
    </w:p>
    <w:p>
      <w:pPr>
        <w:pStyle w:val="Heading2"/>
      </w:pPr>
      <w:r>
        <w:t>U10 Section Introduction</w:t>
      </w:r>
    </w:p>
    <w:p>
      <w:pPr>
        <w:keepNext/>
      </w:pPr>
      <w:r>
        <w:rPr>
          <w:sz w:val="20"/>
        </w:rPr>
        <w:t>Repère  « Cela … ? » ; 117 mots.</w:t>
      </w:r>
    </w:p>
    <w:p>
      <w:pPr>
        <w:keepNext/>
      </w:pPr>
      <w:r>
        <w:rPr>
          <w:i/>
        </w:rPr>
        <w:t>Argument principal  « Le living oblige ainsi le lab à partir de ce qui affecte les habitants et de ce à quoi ils tiennent ; le lab donne en retour des moyens pour rendre ces relations perceptibles, discutables et susceptibles d’être mises à l’épreuve. »</w:t>
      </w:r>
    </w:p>
    <w:p>
      <w:pPr>
        <w:keepNext w:val="0"/>
      </w:pPr>
      <w:r>
        <w:rPr>
          <w:sz w:val="20"/>
        </w:rPr>
        <w:t>Page 2 ; principe [NR DF / NP IE] ; discuté. Épreuve et laisse ouvert  A4.</w:t>
      </w:r>
    </w:p>
    <w:p>
      <w:pPr>
        <w:pStyle w:val="Heading2"/>
      </w:pPr>
      <w:r>
        <w:t>U11 Section Introduction</w:t>
      </w:r>
    </w:p>
    <w:p>
      <w:pPr>
        <w:keepNext/>
      </w:pPr>
      <w:r>
        <w:rPr>
          <w:sz w:val="20"/>
        </w:rPr>
        <w:t>Repère  « Cette … mouvements. » ; 100 mots.</w:t>
      </w:r>
    </w:p>
    <w:p>
      <w:pPr>
        <w:keepNext/>
      </w:pPr>
      <w:r>
        <w:rPr>
          <w:i/>
        </w:rPr>
        <w:t>Argument principal  « Il devient également nécessaire d’observer ce que le processus redistribue : qui devient capable de poser une question ? de manipuler un instrument ? de contester une interprétation ? de rendre visible une relation jusqu’alors négligée ? de faire circuler un résultat ? d’interpeller une institution ? et, finalement, que reste-t-il de cette capacité d’enquête lorsque le projet et les chercheurs se retirent ? »</w:t>
      </w:r>
    </w:p>
    <w:p>
      <w:pPr>
        <w:keepNext w:val="0"/>
      </w:pPr>
      <w:r>
        <w:rPr>
          <w:sz w:val="20"/>
        </w:rPr>
        <w:t>Page 2 ; méthode [NR AF / NP DF] ; discuté. Épreuve et laisse ouvert  A11.</w:t>
      </w:r>
    </w:p>
    <w:p>
      <w:pPr>
        <w:pStyle w:val="Heading2"/>
      </w:pPr>
      <w:r>
        <w:t>U12 Section Introduction</w:t>
      </w:r>
    </w:p>
    <w:p>
      <w:pPr>
        <w:keepNext/>
      </w:pPr>
      <w:r>
        <w:rPr>
          <w:sz w:val="20"/>
        </w:rPr>
        <w:t>Repère  « Nous … faire. » ; 96 mots.</w:t>
      </w:r>
    </w:p>
    <w:p>
      <w:pPr>
        <w:keepNext/>
      </w:pPr>
      <w:r>
        <w:rPr>
          <w:i/>
        </w:rPr>
        <w:t>Argument principal  « Nous examinons ensuite les conditions méthodologiques de cette proposition à partir d’un principe d’équipement sans prescription : les cartes, mesures, modèles, simulations, scénarios ou dispositifs participatifs sont considérés moins comme des instruments destinés à imposer une représentation du problème que comme des prises permettant au collectif d’écouter et composer, traduire, expérimenter et se projeter. »</w:t>
      </w:r>
    </w:p>
    <w:p>
      <w:pPr>
        <w:keepNext w:val="0"/>
      </w:pPr>
      <w:r>
        <w:rPr>
          <w:sz w:val="20"/>
        </w:rPr>
        <w:t>Page 3 ; structure [NR IF / NP AF] ; discuté. Épreuve et laisse ouvert  A5.</w:t>
      </w:r>
    </w:p>
    <w:p>
      <w:pPr>
        <w:pStyle w:val="Heading2"/>
      </w:pPr>
      <w:r>
        <w:t>U13 Section Introduction</w:t>
      </w:r>
    </w:p>
    <w:p>
      <w:pPr>
        <w:keepNext/>
      </w:pPr>
      <w:r>
        <w:rPr>
          <w:sz w:val="20"/>
        </w:rPr>
        <w:t>Repère  « En … part. » ; 52 mots.</w:t>
      </w:r>
    </w:p>
    <w:p>
      <w:pPr>
        <w:keepNext/>
      </w:pPr>
      <w:r>
        <w:rPr>
          <w:i/>
        </w:rPr>
        <w:t>Argument principal  « En déplaçant l’attention des seules solutions vers les relations qui rendent un milieu habitable, le Living Lab peut être envisagé comme un dispositif permettant de construire un monde en commun sans présupposer le consensus : un espace dans lequel chercheurs et habitants apprennent à répondre ensemble des transformations auxquelles ils prennent part. »</w:t>
      </w:r>
    </w:p>
    <w:p>
      <w:pPr>
        <w:keepNext w:val="0"/>
      </w:pPr>
      <w:r>
        <w:rPr>
          <w:sz w:val="20"/>
        </w:rPr>
        <w:t>Page 3 ; conjecture [NR IF / NP DE] ; discuté. Épreuve et laisse ouvert  A13.</w:t>
      </w:r>
    </w:p>
    <w:p>
      <w:pPr>
        <w:pStyle w:val="Heading2"/>
      </w:pPr>
      <w:r>
        <w:t>U14 Section 1 1</w:t>
      </w:r>
    </w:p>
    <w:p>
      <w:pPr>
        <w:keepNext/>
      </w:pPr>
      <w:r>
        <w:rPr>
          <w:sz w:val="20"/>
        </w:rPr>
        <w:t>Repère  « La … démarche. » ; 113 mots.</w:t>
      </w:r>
    </w:p>
    <w:p>
      <w:pPr>
        <w:keepNext/>
      </w:pPr>
      <w:r>
        <w:rPr>
          <w:i/>
        </w:rPr>
        <w:t>Argument principal  « En s’inspirant de la figure du « maître ignorant » développée par Jacques Rancière, on peut renverser ce paradigme : le rôle du chercheur ne doit plus être de diriger ou d'expliquer, mais de proposer un défi stimulant qui encourage le collectif à explorer et à s'approprier la démarche. »</w:t>
      </w:r>
    </w:p>
    <w:p>
      <w:pPr>
        <w:keepNext w:val="0"/>
      </w:pPr>
      <w:r>
        <w:rPr>
          <w:sz w:val="20"/>
        </w:rPr>
        <w:t>Page 3 ; principe [NR DF / NP IE] ; discuté. Épreuve et laisse ouvert  A2.</w:t>
      </w:r>
    </w:p>
    <w:p>
      <w:pPr>
        <w:keepNext w:val="0"/>
      </w:pPr>
      <w:r>
        <w:rPr>
          <w:sz w:val="20"/>
        </w:rPr>
        <w:t>Bleu  Rancière à vérifier.</w:t>
      </w:r>
    </w:p>
    <w:p>
      <w:pPr>
        <w:pStyle w:val="Heading2"/>
      </w:pPr>
      <w:r>
        <w:t>U15 Section 1 1</w:t>
      </w:r>
    </w:p>
    <w:p>
      <w:pPr>
        <w:keepNext/>
      </w:pPr>
      <w:r>
        <w:rPr>
          <w:sz w:val="20"/>
        </w:rPr>
        <w:t>Repère  « En … réussite. » ; 37 mots.</w:t>
      </w:r>
    </w:p>
    <w:p>
      <w:pPr>
        <w:keepNext/>
      </w:pPr>
      <w:r>
        <w:rPr>
          <w:i/>
        </w:rPr>
        <w:t>Argument principal  « En reconnaissant l'égalité fondamentale des intelligences, le Living Lab se transforme d'un dispositif de validation descendante à une infrastructure souveraine, où la trajectoire du groupe, et non le seul résultat escompté, devient le véritable gage de réussite. »</w:t>
      </w:r>
    </w:p>
    <w:p>
      <w:pPr>
        <w:keepNext w:val="0"/>
      </w:pPr>
      <w:r>
        <w:rPr>
          <w:sz w:val="20"/>
        </w:rPr>
        <w:t>Page 3 ; hypothèse [NR AF / NP IE] ; discuté. Épreuve et laisse ouvert  A2.</w:t>
      </w:r>
    </w:p>
    <w:p>
      <w:pPr>
        <w:pStyle w:val="Heading2"/>
      </w:pPr>
      <w:r>
        <w:t>U16 Section 1 1</w:t>
      </w:r>
    </w:p>
    <w:p>
      <w:pPr>
        <w:keepNext/>
      </w:pPr>
      <w:r>
        <w:t>Unité lue  L’égalité entre les participants est un prérequis et non pas un objectif du processus. Il faut que les participants se reconnaissent mutuellement le droit a la parole et à l’écoute. Ce n’est pas une égalité qui dit nous sommes tous pareil, c’est une égalité qui dit, dans notre pluralité, nous pouvons tous discuter. le chercheur se met lui aussi à la place d’un “discutant” dans ce processus. Sans supériorité, ni dans la connaissance, ni dans la conduite du processus, il se met à l’écoute du “produit”, sans chercher à le prédéfinir ou le tester. Il s’intéresse alors a documenter la trajectoire du groupe qui essaye, autant qu’a documenter le résultat.</w:t>
      </w:r>
    </w:p>
    <w:p>
      <w:pPr>
        <w:keepNext/>
      </w:pPr>
      <w:r>
        <w:rPr>
          <w:i/>
        </w:rPr>
        <w:t>Argument principal  « L’égalité entre les participants est un prérequis et non pas un objectif du processus. »</w:t>
      </w:r>
    </w:p>
    <w:p>
      <w:pPr>
        <w:keepNext w:val="0"/>
      </w:pPr>
      <w:r>
        <w:rPr>
          <w:sz w:val="20"/>
        </w:rPr>
        <w:t>Page 3 ; axiome [NR IF / NP IE] ; discuté. Épreuve et laisse ouvert  A3.</w:t>
      </w:r>
    </w:p>
    <w:p>
      <w:pPr>
        <w:pStyle w:val="Heading2"/>
      </w:pPr>
      <w:r>
        <w:t>U17 Section 1 1</w:t>
      </w:r>
    </w:p>
    <w:p>
      <w:pPr>
        <w:keepNext/>
      </w:pPr>
      <w:r>
        <w:rPr>
          <w:sz w:val="20"/>
        </w:rPr>
        <w:t>Repère  « Cette … insistent. » ; 107 mots.</w:t>
      </w:r>
    </w:p>
    <w:p>
      <w:pPr>
        <w:keepNext/>
      </w:pPr>
      <w:r>
        <w:rPr>
          <w:i/>
        </w:rPr>
        <w:t>Argument principal  « Cette manière d’envisager le Living Lab suppose que le chercheur accepte de se laisser partiellement déposséder : non de sa rigueur méthodologique, mais du monopole de la question, de la maîtrise du chemin et de l’autorité sur ce que l’enquête doit produire. »</w:t>
      </w:r>
    </w:p>
    <w:p>
      <w:pPr>
        <w:keepNext w:val="0"/>
      </w:pPr>
      <w:r>
        <w:rPr>
          <w:sz w:val="20"/>
        </w:rPr>
        <w:t>Page 3 ; principe [NR DF / NP IE] ; discuté. Épreuve et laisse ouvert  A2.</w:t>
      </w:r>
    </w:p>
    <w:p>
      <w:pPr>
        <w:keepNext w:val="0"/>
      </w:pPr>
      <w:r>
        <w:rPr>
          <w:sz w:val="20"/>
        </w:rPr>
        <w:t>Bleu  Deleuze, Guattari à vérifier.</w:t>
      </w:r>
    </w:p>
    <w:p>
      <w:pPr>
        <w:pStyle w:val="Heading2"/>
      </w:pPr>
      <w:r>
        <w:t>U18 Section 1 1</w:t>
      </w:r>
    </w:p>
    <w:p>
      <w:pPr>
        <w:keepNext/>
      </w:pPr>
      <w:r>
        <w:rPr>
          <w:sz w:val="20"/>
        </w:rPr>
        <w:t>Repère  « Cette … champ. » ; 92 mots.</w:t>
      </w:r>
    </w:p>
    <w:p>
      <w:pPr>
        <w:keepNext/>
      </w:pPr>
      <w:r>
        <w:rPr>
          <w:i/>
        </w:rPr>
        <w:t>Argument principal  « Cette dépossession lui rend paradoxalement du temps : le temps de déplacer son regard, de se laisser affecter et d’observer autrement ce qui est en train de se composer. »</w:t>
      </w:r>
    </w:p>
    <w:p>
      <w:pPr>
        <w:keepNext w:val="0"/>
      </w:pPr>
      <w:r>
        <w:rPr>
          <w:sz w:val="20"/>
        </w:rPr>
        <w:t>Page 4 ; hypothèse [NR AF / NP IE] ; discuté. Épreuve et laisse ouvert  A13.</w:t>
      </w:r>
    </w:p>
    <w:p>
      <w:pPr>
        <w:pStyle w:val="Heading2"/>
      </w:pPr>
      <w:r>
        <w:t>U19 Section 1 1</w:t>
      </w:r>
    </w:p>
    <w:p>
      <w:pPr>
        <w:keepNext/>
      </w:pPr>
      <w:r>
        <w:rPr>
          <w:sz w:val="20"/>
        </w:rPr>
        <w:t>Repère  « À … autres. » ; 109 mots.</w:t>
      </w:r>
    </w:p>
    <w:p>
      <w:pPr>
        <w:keepNext/>
      </w:pPr>
      <w:r>
        <w:rPr>
          <w:i/>
        </w:rPr>
        <w:t>Argument principal  « L’erreur n’y constitue pas un écart qu’il faudrait rapidement corriger pour revenir à la trajectoire prévue : elle devient un événement de problématisation, révélant qu’une hypothèse, un instrument ou une manière de poser la question ne résiste pas à l’épreuve du milieu. »</w:t>
      </w:r>
    </w:p>
    <w:p>
      <w:pPr>
        <w:keepNext w:val="0"/>
      </w:pPr>
      <w:r>
        <w:rPr>
          <w:sz w:val="20"/>
        </w:rPr>
        <w:t>Page 4 ; méthode [NR AF / NP DF] ; discuté. Épreuve et laisse ouvert  A2.</w:t>
      </w:r>
    </w:p>
    <w:p>
      <w:pPr>
        <w:pStyle w:val="Heading2"/>
      </w:pPr>
      <w:r>
        <w:t>U20 Section 1 1</w:t>
      </w:r>
    </w:p>
    <w:p>
      <w:pPr>
        <w:keepNext/>
      </w:pPr>
      <w:r>
        <w:rPr>
          <w:sz w:val="20"/>
        </w:rPr>
        <w:t>Repère  « L’apprentissage … lab. » ; 105 mots.</w:t>
      </w:r>
    </w:p>
    <w:p>
      <w:pPr>
        <w:keepNext/>
      </w:pPr>
      <w:r>
        <w:rPr>
          <w:i/>
        </w:rPr>
        <w:t>Argument principal  « Il devient rhizomatique, au sens de Deleuze et Guattari : aucun savoir ne constitue le tronc à partir duquel les autres devraient être ordonnés ou validés. »</w:t>
      </w:r>
    </w:p>
    <w:p>
      <w:pPr>
        <w:keepNext w:val="0"/>
      </w:pPr>
      <w:r>
        <w:rPr>
          <w:sz w:val="20"/>
        </w:rPr>
        <w:t>Page 4 ; théorie [NR AF / NP IF] ; discuté. Épreuve et laisse ouvert  A2.</w:t>
      </w:r>
    </w:p>
    <w:p>
      <w:pPr>
        <w:keepNext w:val="0"/>
      </w:pPr>
      <w:r>
        <w:rPr>
          <w:sz w:val="20"/>
        </w:rPr>
        <w:t>Bleu  Deleuze, Guattari à vérifier.</w:t>
      </w:r>
    </w:p>
    <w:p>
      <w:pPr>
        <w:pStyle w:val="Heading2"/>
      </w:pPr>
      <w:r>
        <w:t>U21 Section 1 2</w:t>
      </w:r>
    </w:p>
    <w:p>
      <w:pPr>
        <w:keepNext/>
      </w:pPr>
      <w:r>
        <w:t>Unité lue  Dans l’expression Living Lab, le terme living ne devrait pas seulement qualifier le caractère « réel » du milieu dans lequel l’expérimentation est conduite. Le territoire n’est pas l’extérieur du laboratoire, un décor plus complexe dans lequel des produits ou des hypothèses scientifiques viendraient subir l’épreuve du réel. Il est un milieu habité, c’est-à-dire un ensemble de relations, de dépendances et d’attachements qui rendent possibles certaines formes de vie. Habiter ne signifie donc pas simplement occuper durablement un espace. Cela signifie dépendre d’une eau, de sols, d’animaux, de végétaux, d’infrastructures, de pratiques et d’autres personnes ; mais aussi participer, volontairement ou non, à la transformation de ces relations.</w:t>
      </w:r>
    </w:p>
    <w:p>
      <w:pPr>
        <w:keepNext/>
      </w:pPr>
      <w:r>
        <w:rPr>
          <w:i/>
        </w:rPr>
        <w:t>Argument principal  « Il est un milieu habité, c’est-à-dire un ensemble de relations, de dépendances et d’attachements qui rendent possibles certaines formes de vie. »</w:t>
      </w:r>
    </w:p>
    <w:p>
      <w:pPr>
        <w:keepNext w:val="0"/>
      </w:pPr>
      <w:r>
        <w:rPr>
          <w:sz w:val="20"/>
        </w:rPr>
        <w:t>Page 4 ; définition [NR AF / NP AE] ; discuté. Épreuve et laisse ouvert  A4.</w:t>
      </w:r>
    </w:p>
    <w:p>
      <w:pPr>
        <w:pStyle w:val="Heading2"/>
      </w:pPr>
      <w:r>
        <w:t>U22 Section 1 2</w:t>
      </w:r>
    </w:p>
    <w:p>
      <w:pPr>
        <w:keepNext/>
      </w:pPr>
      <w:r>
        <w:rPr>
          <w:sz w:val="20"/>
        </w:rPr>
        <w:t>Repère  « Le … l’intervention. » ; 78 mots.</w:t>
      </w:r>
    </w:p>
    <w:p>
      <w:pPr>
        <w:keepNext/>
      </w:pPr>
      <w:r>
        <w:rPr>
          <w:i/>
        </w:rPr>
        <w:t>Argument principal  « Il désigne celles et ceux dont l’existence dépend matériellement et affectivement du milieu : agriculteurs, éleveurs, pêcheurs, femmes et jeunes parfois exclus des espaces formels de décision, populations mobiles, transhumantes ou saisonnières, habitants autochtones ou allochtones. »</w:t>
      </w:r>
    </w:p>
    <w:p>
      <w:pPr>
        <w:keepNext w:val="0"/>
      </w:pPr>
      <w:r>
        <w:rPr>
          <w:sz w:val="20"/>
        </w:rPr>
        <w:t>Page 4 ; définition [NR AF / NP AE] ; discuté. Épreuve et laisse ouvert  A4.</w:t>
      </w:r>
    </w:p>
    <w:p>
      <w:pPr>
        <w:pStyle w:val="Heading2"/>
      </w:pPr>
      <w:r>
        <w:t>U23 Section 1 2</w:t>
      </w:r>
    </w:p>
    <w:p>
      <w:pPr>
        <w:keepNext/>
      </w:pPr>
      <w:r>
        <w:rPr>
          <w:sz w:val="20"/>
        </w:rPr>
        <w:t>Repère  « Elle … discuter. » ; 113 mots.</w:t>
      </w:r>
    </w:p>
    <w:p>
      <w:pPr>
        <w:keepNext/>
      </w:pPr>
      <w:r>
        <w:rPr>
          <w:i/>
        </w:rPr>
        <w:t>Argument principal  « La question n’est donc pas seulement de savoir qui réside sur le territoire, mais qui dépend de son habitabilité et qui supportera les conséquences des décisions prises. »</w:t>
      </w:r>
    </w:p>
    <w:p>
      <w:pPr>
        <w:keepNext w:val="0"/>
      </w:pPr>
      <w:r>
        <w:rPr>
          <w:sz w:val="20"/>
        </w:rPr>
        <w:t>Page 5 ; principe [NR DF / NP IE] ; discuté. Épreuve et laisse ouvert  A4.</w:t>
      </w:r>
    </w:p>
    <w:p>
      <w:pPr>
        <w:pStyle w:val="Heading2"/>
      </w:pPr>
      <w:r>
        <w:t>U24 Section 1 2</w:t>
      </w:r>
    </w:p>
    <w:p>
      <w:pPr>
        <w:keepNext/>
      </w:pPr>
      <w:r>
        <w:rPr>
          <w:sz w:val="20"/>
        </w:rPr>
        <w:t>Repère  « Le … partagé. » ; 116 mots.</w:t>
      </w:r>
    </w:p>
    <w:p>
      <w:pPr>
        <w:keepNext/>
      </w:pPr>
      <w:r>
        <w:rPr>
          <w:i/>
        </w:rPr>
        <w:t>Argument principal  « Le pêcheur ne devrait pas être assigné aux poissons, l’agriculteur aux cultures et l’éleveur au troupeau. »</w:t>
      </w:r>
    </w:p>
    <w:p>
      <w:pPr>
        <w:keepNext w:val="0"/>
      </w:pPr>
      <w:r>
        <w:rPr>
          <w:sz w:val="20"/>
        </w:rPr>
        <w:t>Page 5 ; principe [NR DF / NP IE] ; discuté. Épreuve et laisse ouvert  A3.</w:t>
      </w:r>
    </w:p>
    <w:p>
      <w:pPr>
        <w:pStyle w:val="Heading2"/>
      </w:pPr>
      <w:r>
        <w:t>U25 Section 1 2</w:t>
      </w:r>
    </w:p>
    <w:p>
      <w:pPr>
        <w:keepNext/>
      </w:pPr>
      <w:r>
        <w:rPr>
          <w:sz w:val="20"/>
        </w:rPr>
        <w:t>Repère  « La … connaissances. » ; 106 mots.</w:t>
      </w:r>
    </w:p>
    <w:p>
      <w:pPr>
        <w:keepNext/>
      </w:pPr>
      <w:r>
        <w:rPr>
          <w:i/>
        </w:rPr>
        <w:t>Argument principal  « La perméabilité des frontières entre les catégories ne signifie ni l’effacement des différences ni la formation spontanée d’un consensus. »</w:t>
      </w:r>
    </w:p>
    <w:p>
      <w:pPr>
        <w:keepNext w:val="0"/>
      </w:pPr>
      <w:r>
        <w:rPr>
          <w:sz w:val="20"/>
        </w:rPr>
        <w:t>Page 5 ; hypothèse [NR AF / NP IE] ; discuté. Épreuve et laisse ouvert  A3.</w:t>
      </w:r>
    </w:p>
    <w:p>
      <w:pPr>
        <w:keepNext w:val="0"/>
      </w:pPr>
      <w:r>
        <w:rPr>
          <w:sz w:val="20"/>
        </w:rPr>
        <w:t>Bleu  Rancière à vérifier.</w:t>
      </w:r>
    </w:p>
    <w:p>
      <w:pPr>
        <w:pStyle w:val="Heading2"/>
      </w:pPr>
      <w:r>
        <w:t>U26 Section 1 2</w:t>
      </w:r>
    </w:p>
    <w:p>
      <w:pPr>
        <w:keepNext/>
      </w:pPr>
      <w:r>
        <w:t>Unité lue  En cherchant à rendre visible des asymétries d’information, à asseoir des légitimité à intervenir dans le monde, on crée un groupe en confiance. Une confiance mutuelle et en relation avec d’autres arènes. Il n’y a donc plus de frein à réagir à la connaissance produite par les uns ou pas les autres car elle est le fruit de discussion, concertation délibération qui produisent un cheminement collectif de pensée et d’action. En faisant ensemble, le collectif ne fabrique donc pas seulement un savoir commun : il construit les conditions dans lesquelles chacun peut répondre de ce qu’il avance, se laisser affecter par ce que l’enquête fait apparaître et reconnaître aux autres la légitimité d’agir.</w:t>
      </w:r>
    </w:p>
    <w:p>
      <w:pPr>
        <w:keepNext/>
      </w:pPr>
      <w:r>
        <w:rPr>
          <w:i/>
        </w:rPr>
        <w:t>Argument principal  « Il n’y a donc plus de frein à réagir à la connaissance produite par les uns ou pas les autres car elle est le fruit de discussion, concertation délibération qui produisent un cheminement collectif de pensée et d’action. »</w:t>
      </w:r>
    </w:p>
    <w:p>
      <w:pPr>
        <w:keepNext w:val="0"/>
      </w:pPr>
      <w:r>
        <w:rPr>
          <w:sz w:val="20"/>
        </w:rPr>
        <w:t>Page 5 ; croyance [NR DE / NP IF] ; discuté. Épreuve et laisse ouvert  A14.</w:t>
      </w:r>
    </w:p>
    <w:p>
      <w:pPr>
        <w:pStyle w:val="Heading2"/>
      </w:pPr>
      <w:r>
        <w:t>U27 Section 1 2</w:t>
      </w:r>
    </w:p>
    <w:p>
      <w:pPr>
        <w:keepNext/>
      </w:pPr>
      <w:r>
        <w:rPr>
          <w:sz w:val="20"/>
        </w:rPr>
        <w:t>Repère  « La … arènes. » ; 24 mots.</w:t>
      </w:r>
    </w:p>
    <w:p>
      <w:pPr>
        <w:keepNext/>
      </w:pPr>
      <w:r>
        <w:rPr>
          <w:i/>
        </w:rPr>
        <w:t>Argument principal  « La confiance ainsi construite réduit les obstacles à l’action et permet au groupe de porter, discuter et défendre les connaissances produites dans d’autres arènes. »</w:t>
      </w:r>
    </w:p>
    <w:p>
      <w:pPr>
        <w:keepNext w:val="0"/>
      </w:pPr>
      <w:r>
        <w:rPr>
          <w:sz w:val="20"/>
        </w:rPr>
        <w:t>Page 5 ; hypothèse [NR AF / NP IE] ; discuté. Épreuve et laisse ouvert  A6.</w:t>
      </w:r>
    </w:p>
    <w:p>
      <w:pPr>
        <w:pStyle w:val="Heading2"/>
      </w:pPr>
      <w:r>
        <w:t>U28 Section 1 2</w:t>
      </w:r>
    </w:p>
    <w:p>
      <w:pPr>
        <w:keepNext/>
      </w:pPr>
      <w:r>
        <w:rPr>
          <w:sz w:val="20"/>
        </w:rPr>
        <w:t>Repère  « Le … confiance. » ; 39 mots.</w:t>
      </w:r>
    </w:p>
    <w:p>
      <w:pPr>
        <w:keepNext/>
      </w:pPr>
      <w:r>
        <w:rPr>
          <w:i/>
        </w:rPr>
        <w:t>Argument principal  « Le temps offre un espace d’expression et d’ajustement permettant d’offrir et d’ouvrir à de nouveaux échanges, comme des phénomènes émergeant positifs d’un réseau, apprenant, agissant en confiance. »</w:t>
      </w:r>
    </w:p>
    <w:p>
      <w:pPr>
        <w:keepNext w:val="0"/>
      </w:pPr>
      <w:r>
        <w:rPr>
          <w:sz w:val="20"/>
        </w:rPr>
        <w:t>Page 5 ; hypothèse [NR AF / NP IE] ; discuté. Épreuve et laisse ouvert  A6.</w:t>
      </w:r>
    </w:p>
    <w:p>
      <w:pPr>
        <w:pStyle w:val="Heading2"/>
      </w:pPr>
      <w:r>
        <w:t>U29 Section 1 2</w:t>
      </w:r>
    </w:p>
    <w:p>
      <w:pPr>
        <w:keepNext/>
      </w:pPr>
      <w:r>
        <w:rPr>
          <w:sz w:val="20"/>
        </w:rPr>
        <w:t>Repère  « La … territoire. » ; 112 mots.</w:t>
      </w:r>
    </w:p>
    <w:p>
      <w:pPr>
        <w:keepNext/>
      </w:pPr>
      <w:r>
        <w:rPr>
          <w:i/>
        </w:rPr>
        <w:t>Argument principal  « La connaissance n’est pas agissante parce qu’elle serait définitivement vraie, mais parce qu’elle peut être reliée, discutée, éprouvée et contestée. »</w:t>
      </w:r>
    </w:p>
    <w:p>
      <w:pPr>
        <w:keepNext w:val="0"/>
      </w:pPr>
      <w:r>
        <w:rPr>
          <w:sz w:val="20"/>
        </w:rPr>
        <w:t>Page 5 ; théorie [NR AF / NP IF] ; discuté. Épreuve et laisse ouvert  A6.</w:t>
      </w:r>
    </w:p>
    <w:p>
      <w:pPr>
        <w:pStyle w:val="Heading2"/>
      </w:pPr>
      <w:r>
        <w:t>U30 Section 1 3</w:t>
      </w:r>
    </w:p>
    <w:p>
      <w:pPr>
        <w:keepNext/>
      </w:pPr>
      <w:r>
        <w:rPr>
          <w:sz w:val="20"/>
        </w:rPr>
        <w:t>Repère  « Le … arènes. » ; 108 mots.</w:t>
      </w:r>
    </w:p>
    <w:p>
      <w:pPr>
        <w:keepNext/>
      </w:pPr>
      <w:r>
        <w:rPr>
          <w:i/>
        </w:rPr>
        <w:t>Argument principal  « Un lab privé de sa dimension living risque de transformer le territoire en site d’expérimentation : les questions, les protocoles et les résultats sont alors définis ailleurs, tandis que les habitants fournissent un contexte, des données ou des possibilités de validation. »</w:t>
      </w:r>
    </w:p>
    <w:p>
      <w:pPr>
        <w:keepNext w:val="0"/>
      </w:pPr>
      <w:r>
        <w:rPr>
          <w:sz w:val="20"/>
        </w:rPr>
        <w:t>Page 6 ; hypothèse [NR AF / NP IE] ; discuté. Épreuve et laisse ouvert  A5.</w:t>
      </w:r>
    </w:p>
    <w:p>
      <w:pPr>
        <w:pStyle w:val="Heading2"/>
      </w:pPr>
      <w:r>
        <w:t>U31 Section 1 3</w:t>
      </w:r>
    </w:p>
    <w:p>
      <w:pPr>
        <w:keepNext/>
      </w:pPr>
      <w:r>
        <w:t>Unité lue  Le laboratoire habité doit tenir ensemble la souveraineté du collectif sur le problème et l’exigence méthodologique de l’enquête située.</w:t>
      </w:r>
    </w:p>
    <w:p>
      <w:pPr>
        <w:keepNext/>
      </w:pPr>
      <w:r>
        <w:rPr>
          <w:i/>
        </w:rPr>
        <w:t>Argument principal  « Le laboratoire habité doit tenir ensemble la souveraineté du collectif sur le problème et l’exigence méthodologique de l’enquête située. »</w:t>
      </w:r>
    </w:p>
    <w:p>
      <w:pPr>
        <w:keepNext w:val="0"/>
      </w:pPr>
      <w:r>
        <w:rPr>
          <w:sz w:val="20"/>
        </w:rPr>
        <w:t>Page 6 ; principe [NR DF / NP IE] ; discuté. Épreuve et laisse ouvert  A5.</w:t>
      </w:r>
    </w:p>
    <w:p>
      <w:pPr>
        <w:pStyle w:val="Heading2"/>
      </w:pPr>
      <w:r>
        <w:t>U32 Section 1 3</w:t>
      </w:r>
    </w:p>
    <w:p>
      <w:pPr>
        <w:keepNext/>
      </w:pPr>
      <w:r>
        <w:rPr>
          <w:sz w:val="20"/>
        </w:rPr>
        <w:t>Repère  « Le … l’attention. » ; 103 mots.</w:t>
      </w:r>
    </w:p>
    <w:p>
      <w:pPr>
        <w:keepNext/>
      </w:pPr>
      <w:r>
        <w:rPr>
          <w:i/>
        </w:rPr>
        <w:t>Argument principal  « Le lab, quant à lui, apporte les moyens d’éprouver cette question : comment ? instruments, protocoles, répétitions, comparaisons, formalisation et explicitation des incertitudes. »</w:t>
      </w:r>
    </w:p>
    <w:p>
      <w:pPr>
        <w:keepNext w:val="0"/>
      </w:pPr>
      <w:r>
        <w:rPr>
          <w:sz w:val="20"/>
        </w:rPr>
        <w:t>Page 6 ; méthode [NR AF / NP DF] ; discuté. Épreuve et laisse ouvert  A5.</w:t>
      </w:r>
    </w:p>
    <w:p>
      <w:pPr>
        <w:keepNext w:val="0"/>
      </w:pPr>
      <w:r>
        <w:rPr>
          <w:sz w:val="20"/>
        </w:rPr>
        <w:t>Bleu  Hache à vérifier.</w:t>
      </w:r>
    </w:p>
    <w:p>
      <w:pPr>
        <w:pStyle w:val="Heading2"/>
      </w:pPr>
      <w:r>
        <w:t>U33 Section 1 3</w:t>
      </w:r>
    </w:p>
    <w:p>
      <w:pPr>
        <w:keepNext/>
      </w:pPr>
      <w:r>
        <w:rPr>
          <w:sz w:val="20"/>
        </w:rPr>
        <w:t>Repère  « Le … d’enquête. » ; 21 mots.</w:t>
      </w:r>
    </w:p>
    <w:p>
      <w:pPr>
        <w:keepNext/>
      </w:pPr>
      <w:r>
        <w:rPr>
          <w:i/>
        </w:rPr>
        <w:t>Argument principal  « Le living empêche ainsi la méthode de devenir souveraine ; le lab empêche que la participation soit privée de moyens d’enquête. »</w:t>
      </w:r>
    </w:p>
    <w:p>
      <w:pPr>
        <w:keepNext w:val="0"/>
      </w:pPr>
      <w:r>
        <w:rPr>
          <w:sz w:val="20"/>
        </w:rPr>
        <w:t>Page 6 ; principe [NR DF / NP IE] ; discuté. Épreuve et laisse ouvert  A5.</w:t>
      </w:r>
    </w:p>
    <w:p>
      <w:pPr>
        <w:pStyle w:val="Heading2"/>
      </w:pPr>
      <w:r>
        <w:t>U34 Section 1 3</w:t>
      </w:r>
    </w:p>
    <w:p>
      <w:pPr>
        <w:keepNext/>
      </w:pPr>
      <w:r>
        <w:rPr>
          <w:sz w:val="20"/>
        </w:rPr>
        <w:t>Repère  « Cette … posé. » ; 109 mots.</w:t>
      </w:r>
    </w:p>
    <w:p>
      <w:pPr>
        <w:keepNext/>
      </w:pPr>
      <w:r>
        <w:rPr>
          <w:i/>
        </w:rPr>
        <w:t>Argument principal  « Problématiser, instrumenter, éprouver, documenter, restituer et interpeller constituent moins des étapes successives que des fonctions auxquelles l’enquête peut revenir. »</w:t>
      </w:r>
    </w:p>
    <w:p>
      <w:pPr>
        <w:keepNext w:val="0"/>
      </w:pPr>
      <w:r>
        <w:rPr>
          <w:sz w:val="20"/>
        </w:rPr>
        <w:t>Page 6 ; méthode [NR AF / NP DF] ; discuté. Épreuve et laisse ouvert  A5.</w:t>
      </w:r>
    </w:p>
    <w:p>
      <w:pPr>
        <w:keepNext w:val="0"/>
      </w:pPr>
      <w:r>
        <w:rPr>
          <w:sz w:val="20"/>
        </w:rPr>
        <w:t>Rouge  Le texte évoque une inquiétude, une perte ou un affect ; il ne fournit pas une parole habitante recueillie.</w:t>
      </w:r>
    </w:p>
    <w:p>
      <w:pPr>
        <w:pStyle w:val="Heading2"/>
      </w:pPr>
      <w:r>
        <w:t>U35 Section 1 3</w:t>
      </w:r>
    </w:p>
    <w:p>
      <w:pPr>
        <w:keepNext/>
      </w:pPr>
      <w:r>
        <w:rPr>
          <w:sz w:val="20"/>
        </w:rPr>
        <w:t>Repère  « Cette … enquêté. » ; 25 mots.</w:t>
      </w:r>
    </w:p>
    <w:p>
      <w:pPr>
        <w:keepNext/>
      </w:pPr>
      <w:r>
        <w:rPr>
          <w:i/>
        </w:rPr>
        <w:t>Argument principal  « Cette articulation entre living et lab viens questionner la responsabilité que les uns et les autres acceptent, ou refusent de prendre vis-à-vis des sujets enquêté. »</w:t>
      </w:r>
    </w:p>
    <w:p>
      <w:pPr>
        <w:keepNext w:val="0"/>
      </w:pPr>
      <w:r>
        <w:rPr>
          <w:sz w:val="20"/>
        </w:rPr>
        <w:t>Page 6 ; problème [NR AF / NP DE] ; discuté. Épreuve et laisse ouvert  A13.</w:t>
      </w:r>
    </w:p>
    <w:p>
      <w:pPr>
        <w:pStyle w:val="Heading2"/>
      </w:pPr>
      <w:r>
        <w:t>U36 Section 1 3</w:t>
      </w:r>
    </w:p>
    <w:p>
      <w:pPr>
        <w:keepNext/>
      </w:pPr>
      <w:r>
        <w:t>Unité lue  Dans ce processus, le chercheur ne disparaît pas. Il garantit la qualité des conditions de l’enquête : il rend les instruments compréhensibles, distingue les indices des preuves, explicite les incertitudes et conserve la mémoire des bifurcations. Mais il ne décide plus seul de ce qui mérite d’être observé, ni de la signification finale des résultats. Sa responsabilité consiste également à mettre ses ressources, ses relations et sa capacité de formalisation au service de la circulation des connaissances produites. Les cartes, mesures, modèles ou comptes rendus doivent pouvoir être saisis par les habitants et mobilisés dans les arènes où se prennent les décisions.</w:t>
      </w:r>
    </w:p>
    <w:p>
      <w:pPr>
        <w:keepNext/>
      </w:pPr>
      <w:r>
        <w:rPr>
          <w:i/>
        </w:rPr>
        <w:t>Argument principal  « Il garantit la qualité des conditions de l’enquête : il rend les instruments compréhensibles, distingue les indices des preuves, explicite les incertitudes et conserve la mémoire des bifurcations. »</w:t>
      </w:r>
    </w:p>
    <w:p>
      <w:pPr>
        <w:keepNext w:val="0"/>
      </w:pPr>
      <w:r>
        <w:rPr>
          <w:sz w:val="20"/>
        </w:rPr>
        <w:t>Page 6 ; méthode [NR AF / NP DF] ; discuté. Épreuve et laisse ouvert  A5.</w:t>
      </w:r>
    </w:p>
    <w:p>
      <w:pPr>
        <w:pStyle w:val="Heading2"/>
      </w:pPr>
      <w:r>
        <w:t>U37 Section 1 3</w:t>
      </w:r>
    </w:p>
    <w:p>
      <w:pPr>
        <w:keepNext/>
      </w:pPr>
      <w:r>
        <w:rPr>
          <w:sz w:val="20"/>
        </w:rPr>
        <w:t>Repère  « Un … ? » ; 106 mots.</w:t>
      </w:r>
    </w:p>
    <w:p>
      <w:pPr>
        <w:keepNext/>
      </w:pPr>
      <w:r>
        <w:rPr>
          <w:i/>
        </w:rPr>
        <w:t>Argument principal  « Il le devient lorsqu’il redistribue durablement les capacités de définir, d’éprouver, d’interpréter et de porter un problème. »</w:t>
      </w:r>
    </w:p>
    <w:p>
      <w:pPr>
        <w:keepNext w:val="0"/>
      </w:pPr>
      <w:r>
        <w:rPr>
          <w:sz w:val="20"/>
        </w:rPr>
        <w:t>Page 7 ; définition [NR AF / NP AE] ; discuté. Épreuve et laisse ouvert  A11.</w:t>
      </w:r>
    </w:p>
    <w:p>
      <w:pPr>
        <w:pStyle w:val="Heading2"/>
      </w:pPr>
      <w:r>
        <w:t>U38 Section 1 3</w:t>
      </w:r>
    </w:p>
    <w:p>
      <w:pPr>
        <w:keepNext/>
      </w:pPr>
      <w:r>
        <w:t>Unité lue  Le laboratoire habité se reconnaît ainsi moins à la présence permanente d’une équipe scientifique qu’à sa capacité à organiser progressivement sa propre déprise. Le retrait du chercheur ne constitue ni un abandon ni la preuve d’une autonomie locale autosuffisante. Il indique que les instruments, les relations, la mémoire et les capacités d’interpellation ne dépendent plus entièrement de lui. L’opérativité d’un Living Lab réside alors dans la possibilité laissée aux habitants de poursuivre l’enquête, de la faire bifurquer et d’obliger d’autres acteurs à répondre avec eux du devenir de leur milieu.</w:t>
      </w:r>
    </w:p>
    <w:p>
      <w:pPr>
        <w:keepNext/>
      </w:pPr>
      <w:r>
        <w:rPr>
          <w:i/>
        </w:rPr>
        <w:t>Argument principal  « Le laboratoire habité se reconnaît ainsi moins à la présence permanente d’une équipe scientifique qu’à sa capacité à organiser progressivement sa propre déprise. »</w:t>
      </w:r>
    </w:p>
    <w:p>
      <w:pPr>
        <w:keepNext w:val="0"/>
      </w:pPr>
      <w:r>
        <w:rPr>
          <w:sz w:val="20"/>
        </w:rPr>
        <w:t>Page 7 ; définition [NR AF / NP AE] ; discuté. Épreuve et laisse ouvert  A11.</w:t>
      </w:r>
    </w:p>
    <w:p>
      <w:pPr>
        <w:pStyle w:val="Heading2"/>
      </w:pPr>
      <w:r>
        <w:t>U39 Section 2</w:t>
      </w:r>
    </w:p>
    <w:p>
      <w:pPr>
        <w:keepNext/>
      </w:pPr>
      <w:r>
        <w:rPr>
          <w:sz w:val="20"/>
        </w:rPr>
        <w:t>Repère  « Revenir … périphérique. » ; 110 mots.</w:t>
      </w:r>
    </w:p>
    <w:p>
      <w:pPr>
        <w:keepNext/>
      </w:pPr>
      <w:r>
        <w:rPr>
          <w:i/>
        </w:rPr>
        <w:t>Argument principal  « Chez Stengers, le tact rappelle que celui qui pense connaître le problème n’acquiert pas pour autant le droit d’en déterminer seul la formulation, le rythme ou l’issue. »</w:t>
      </w:r>
    </w:p>
    <w:p>
      <w:pPr>
        <w:keepNext w:val="0"/>
      </w:pPr>
      <w:r>
        <w:rPr>
          <w:sz w:val="20"/>
        </w:rPr>
        <w:t>Page 7 ; principe [NR DF / NP IE] ; discuté. Épreuve et laisse ouvert  A13.</w:t>
      </w:r>
    </w:p>
    <w:p>
      <w:pPr>
        <w:keepNext w:val="0"/>
      </w:pPr>
      <w:r>
        <w:rPr>
          <w:sz w:val="20"/>
        </w:rPr>
        <w:t>Bleu  Stengers à vérifier.</w:t>
      </w:r>
    </w:p>
    <w:p>
      <w:pPr>
        <w:pStyle w:val="Heading2"/>
      </w:pPr>
      <w:r>
        <w:t>U40 Section 2</w:t>
      </w:r>
    </w:p>
    <w:p>
      <w:pPr>
        <w:keepNext/>
      </w:pPr>
      <w:r>
        <w:rPr>
          <w:sz w:val="20"/>
        </w:rPr>
        <w:t>Repère  « Il … réorienter. » ; 37 mots.</w:t>
      </w:r>
    </w:p>
    <w:p>
      <w:pPr>
        <w:keepNext/>
      </w:pPr>
      <w:r>
        <w:rPr>
          <w:i/>
        </w:rPr>
        <w:t>Argument principal  « Il constitue une condition politique du processus : aucune trajectoire ne peut être tenue pour juste si ceux qui devront en supporter les conséquences n’ont pas la possibilité de la mettre à l’épreuve et de la réorienter. »</w:t>
      </w:r>
    </w:p>
    <w:p>
      <w:pPr>
        <w:keepNext w:val="0"/>
      </w:pPr>
      <w:r>
        <w:rPr>
          <w:sz w:val="20"/>
        </w:rPr>
        <w:t>Page 7 ; principe [NR DF / NP IE] ; discuté. Épreuve et laisse ouvert  A13.</w:t>
      </w:r>
    </w:p>
    <w:p>
      <w:pPr>
        <w:pStyle w:val="Heading2"/>
      </w:pPr>
      <w:r>
        <w:t>U41 Section 2</w:t>
      </w:r>
    </w:p>
    <w:p>
      <w:pPr>
        <w:keepNext/>
      </w:pPr>
      <w:r>
        <w:rPr>
          <w:sz w:val="20"/>
        </w:rPr>
        <w:t>Repère  « La … répondre. » ; 115 mots.</w:t>
      </w:r>
    </w:p>
    <w:p>
      <w:pPr>
        <w:keepNext/>
      </w:pPr>
      <w:r>
        <w:rPr>
          <w:i/>
        </w:rPr>
        <w:t>Argument principal  « Pour elle être responsable, c’est devenir capable de répondre à ce qui nous sollicite. »</w:t>
      </w:r>
    </w:p>
    <w:p>
      <w:pPr>
        <w:keepNext w:val="0"/>
      </w:pPr>
      <w:r>
        <w:rPr>
          <w:sz w:val="20"/>
        </w:rPr>
        <w:t>Page 7 ; définition [NR AF / NP AE] ; discuté. Épreuve et laisse ouvert  A13.</w:t>
      </w:r>
    </w:p>
    <w:p>
      <w:pPr>
        <w:keepNext w:val="0"/>
      </w:pPr>
      <w:r>
        <w:rPr>
          <w:sz w:val="20"/>
        </w:rPr>
        <w:t>Bleu  Hache à vérifier.</w:t>
      </w:r>
    </w:p>
    <w:p>
      <w:pPr>
        <w:pStyle w:val="Heading2"/>
      </w:pPr>
      <w:r>
        <w:t>U42 Section 2</w:t>
      </w:r>
    </w:p>
    <w:p>
      <w:pPr>
        <w:keepNext/>
      </w:pPr>
      <w:r>
        <w:rPr>
          <w:sz w:val="20"/>
        </w:rPr>
        <w:t>Repère  « Parce … robuste. » ; 97 mots.</w:t>
      </w:r>
    </w:p>
    <w:p>
      <w:pPr>
        <w:keepNext/>
      </w:pPr>
      <w:r>
        <w:rPr>
          <w:i/>
        </w:rPr>
        <w:t>Argument principal  « Et plus ces attachements deviennent explicites, discutables et partageables, plus le faisceau auquel le collectif peut se raccrocher pour orienter son action devient robuste. »</w:t>
      </w:r>
    </w:p>
    <w:p>
      <w:pPr>
        <w:keepNext w:val="0"/>
      </w:pPr>
      <w:r>
        <w:rPr>
          <w:sz w:val="20"/>
        </w:rPr>
        <w:t>Page 8 ; théorie [NR AF / NP IF] ; discuté. Épreuve et laisse ouvert  A7.</w:t>
      </w:r>
    </w:p>
    <w:p>
      <w:pPr>
        <w:keepNext w:val="0"/>
      </w:pPr>
      <w:r>
        <w:rPr>
          <w:sz w:val="20"/>
        </w:rPr>
        <w:t>Rouge  Le texte évoque une inquiétude, une perte ou un affect ; il ne fournit pas une parole habitante recueillie.</w:t>
      </w:r>
    </w:p>
    <w:p>
      <w:pPr>
        <w:pStyle w:val="Heading2"/>
      </w:pPr>
      <w:r>
        <w:t>U43 Section 2</w:t>
      </w:r>
    </w:p>
    <w:p>
      <w:pPr>
        <w:keepNext/>
      </w:pPr>
      <w:r>
        <w:rPr>
          <w:sz w:val="20"/>
        </w:rPr>
        <w:t>Repère  « Les … propre. » ; 26 mots.</w:t>
      </w:r>
    </w:p>
    <w:p>
      <w:pPr>
        <w:keepNext/>
      </w:pPr>
      <w:r>
        <w:rPr>
          <w:i/>
        </w:rPr>
        <w:t>Argument principal  « Les outils du Living Lab valent précisément par cette capacité à faire apparaître et à mettre à l’épreuve ces relations, plutôt que par leur sophistication propre. »</w:t>
      </w:r>
    </w:p>
    <w:p>
      <w:pPr>
        <w:keepNext w:val="0"/>
      </w:pPr>
      <w:r>
        <w:rPr>
          <w:sz w:val="20"/>
        </w:rPr>
        <w:t>Page 8 ; principe [NR DF / NP IE] ; discuté. Épreuve et laisse ouvert  A7.</w:t>
      </w:r>
    </w:p>
    <w:p>
      <w:pPr>
        <w:pStyle w:val="Heading2"/>
      </w:pPr>
      <w:r>
        <w:t>U44 Section 2</w:t>
      </w:r>
    </w:p>
    <w:p>
      <w:pPr>
        <w:keepNext/>
      </w:pPr>
      <w:r>
        <w:rPr>
          <w:sz w:val="20"/>
        </w:rPr>
        <w:t>Repère  « Cette … processus. » ; 119 mots.</w:t>
      </w:r>
    </w:p>
    <w:p>
      <w:pPr>
        <w:keepNext/>
      </w:pPr>
      <w:r>
        <w:rPr>
          <w:i/>
        </w:rPr>
        <w:t>Argument principal  « Le chercheur demeure engagé : il accompagne, documente, explicite les incertitudes, conserve la mémoire des bifurcations, contribue à rendre les instruments discutables et aide les connaissances produites à circuler vers d’autres arènes. »</w:t>
      </w:r>
    </w:p>
    <w:p>
      <w:pPr>
        <w:keepNext w:val="0"/>
      </w:pPr>
      <w:r>
        <w:rPr>
          <w:sz w:val="20"/>
        </w:rPr>
        <w:t>Page 8 ; méthode [NR AF / NP DF] ; discuté. Épreuve et laisse ouvert  A5.</w:t>
      </w:r>
    </w:p>
    <w:p>
      <w:pPr>
        <w:pStyle w:val="Heading2"/>
      </w:pPr>
      <w:r>
        <w:t>U45 Section 2</w:t>
      </w:r>
    </w:p>
    <w:p>
      <w:pPr>
        <w:keepNext/>
      </w:pPr>
      <w:r>
        <w:rPr>
          <w:sz w:val="20"/>
        </w:rPr>
        <w:t>Repère  « Cette … l’engage. » ; 41 mots.</w:t>
      </w:r>
    </w:p>
    <w:p>
      <w:pPr>
        <w:keepNext/>
      </w:pPr>
      <w:r>
        <w:rPr>
          <w:i/>
        </w:rPr>
        <w:t>Argument principal  « Cette posture interroge plus largement le positionnement de la science en société et avec la société : non plus seulement produire des connaissances sur le monde, mais accepter d’être transformée par les relations dans lesquelles la production de ces connaissances l’engage. »</w:t>
      </w:r>
    </w:p>
    <w:p>
      <w:pPr>
        <w:keepNext w:val="0"/>
      </w:pPr>
      <w:r>
        <w:rPr>
          <w:sz w:val="20"/>
        </w:rPr>
        <w:t>Page 8 ; principe [NR DF / NP IE] ; discuté. Épreuve et laisse ouvert  A5.</w:t>
      </w:r>
    </w:p>
    <w:p>
      <w:pPr>
        <w:pStyle w:val="Heading2"/>
      </w:pPr>
      <w:r>
        <w:t>U46 Section 2 1</w:t>
      </w:r>
    </w:p>
    <w:p>
      <w:pPr>
        <w:keepNext/>
      </w:pPr>
      <w:r>
        <w:rPr>
          <w:sz w:val="20"/>
        </w:rPr>
        <w:t>Repère  « Le … aujourd’hui. » ; 116 mots.</w:t>
      </w:r>
    </w:p>
    <w:p>
      <w:pPr>
        <w:keepNext/>
      </w:pPr>
      <w:r>
        <w:rPr>
          <w:i/>
        </w:rPr>
        <w:t>Argument principal  « Le Living Lab doit être un lieu où le futur peut être mis à l’épreuve du présent, non pour le prédire, mais pour rendre discutables les conséquences possibles des actions actuelles. »</w:t>
      </w:r>
    </w:p>
    <w:p>
      <w:pPr>
        <w:keepNext w:val="0"/>
      </w:pPr>
      <w:r>
        <w:rPr>
          <w:sz w:val="20"/>
        </w:rPr>
        <w:t>Page 8 ; méthode [NR AF / NP DF] ; discuté. Épreuve et laisse ouvert  A8.</w:t>
      </w:r>
    </w:p>
    <w:p>
      <w:pPr>
        <w:pStyle w:val="Heading2"/>
      </w:pPr>
      <w:r>
        <w:t>U47 Section 2 1</w:t>
      </w:r>
    </w:p>
    <w:p>
      <w:pPr>
        <w:keepNext/>
      </w:pPr>
      <w:r>
        <w:rPr>
          <w:sz w:val="20"/>
        </w:rPr>
        <w:t>Repère  « Ces … affecte. » ; 84 mots.</w:t>
      </w:r>
    </w:p>
    <w:p>
      <w:pPr>
        <w:keepNext/>
      </w:pPr>
      <w:r>
        <w:rPr>
          <w:i/>
        </w:rPr>
        <w:t>Argument principal  « Ces instruments ne constituent pas des preuves définitives ; ils forment des prises provisoires permettant de questionner, de comparer, de vérifier et, si nécessaire, de contester ce qui est avancé. »</w:t>
      </w:r>
    </w:p>
    <w:p>
      <w:pPr>
        <w:keepNext w:val="0"/>
      </w:pPr>
      <w:r>
        <w:rPr>
          <w:sz w:val="20"/>
        </w:rPr>
        <w:t>Page 8 ; méthode [NR AF / NP DF] ; discuté. Épreuve et laisse ouvert  A8.</w:t>
      </w:r>
    </w:p>
    <w:p>
      <w:pPr>
        <w:pStyle w:val="Heading2"/>
      </w:pPr>
      <w:r>
        <w:t>U48 Section 2 1</w:t>
      </w:r>
    </w:p>
    <w:p>
      <w:pPr>
        <w:keepNext/>
      </w:pPr>
      <w:r>
        <w:rPr>
          <w:sz w:val="20"/>
        </w:rPr>
        <w:t>Repère  « Une … territoire. » ; 114 mots.</w:t>
      </w:r>
    </w:p>
    <w:p>
      <w:pPr>
        <w:keepNext/>
      </w:pPr>
      <w:r>
        <w:rPr>
          <w:i/>
        </w:rPr>
        <w:t>Argument principal  « Une diminution de la qualité de l’eau, par exemple, ne prend pas le même sens pour une personne qui la boit, pour un pêcheur, pour un éleveur, pour une agricultrice ou pour un service chargé de l’approvisionnement urbain. »</w:t>
      </w:r>
    </w:p>
    <w:p>
      <w:pPr>
        <w:keepNext w:val="0"/>
      </w:pPr>
      <w:r>
        <w:rPr>
          <w:sz w:val="20"/>
        </w:rPr>
        <w:t>Page 9 ; hypothèse [NR AF / NP IE] ; discuté. Épreuve et laisse ouvert  A8.</w:t>
      </w:r>
    </w:p>
    <w:p>
      <w:pPr>
        <w:keepNext w:val="0"/>
      </w:pPr>
      <w:r>
        <w:rPr>
          <w:sz w:val="20"/>
        </w:rPr>
        <w:t>Rouge  Le texte évoque une inquiétude, une perte ou un affect ; il ne fournit pas une parole habitante recueillie.</w:t>
      </w:r>
    </w:p>
    <w:p>
      <w:pPr>
        <w:pStyle w:val="Heading2"/>
      </w:pPr>
      <w:r>
        <w:t>U49 Section 2 1</w:t>
      </w:r>
    </w:p>
    <w:p>
      <w:pPr>
        <w:keepNext/>
      </w:pPr>
      <w:r>
        <w:rPr>
          <w:sz w:val="20"/>
        </w:rPr>
        <w:t>Repère  « Elle … reformulation. » ; 113 mots.</w:t>
      </w:r>
    </w:p>
    <w:p>
      <w:pPr>
        <w:keepNext/>
      </w:pPr>
      <w:r>
        <w:rPr>
          <w:i/>
        </w:rPr>
        <w:t>Argument principal  « Les observations habitantes, les savoirs professionnels, les mesures instrumentales, les analyses scientifiques et les récits du territoire peuvent être mis en relation. »</w:t>
      </w:r>
    </w:p>
    <w:p>
      <w:pPr>
        <w:keepNext w:val="0"/>
      </w:pPr>
      <w:r>
        <w:rPr>
          <w:sz w:val="20"/>
        </w:rPr>
        <w:t>Page 9 ; méthode [NR AF / NP DF] ; discuté. Épreuve et laisse ouvert  A8.</w:t>
      </w:r>
    </w:p>
    <w:p>
      <w:pPr>
        <w:pStyle w:val="Heading2"/>
      </w:pPr>
      <w:r>
        <w:t>U50 Section 2 1</w:t>
      </w:r>
    </w:p>
    <w:p>
      <w:pPr>
        <w:keepNext/>
      </w:pPr>
      <w:r>
        <w:rPr>
          <w:sz w:val="20"/>
        </w:rPr>
        <w:t>Repère  « Une … tact. » ; 101 mots.</w:t>
      </w:r>
    </w:p>
    <w:p>
      <w:pPr>
        <w:keepNext/>
      </w:pPr>
      <w:r>
        <w:rPr>
          <w:i/>
        </w:rPr>
        <w:t>Argument principal  « Une menace présentée comme massive, certaine et hors de portée peut diminuer la puissance d’agir, produire de la sidération ou renforcer la résignation. »</w:t>
      </w:r>
    </w:p>
    <w:p>
      <w:pPr>
        <w:keepNext w:val="0"/>
      </w:pPr>
      <w:r>
        <w:rPr>
          <w:sz w:val="20"/>
        </w:rPr>
        <w:t>Page 9 ; hypothèse [NR AF / NP IE] ; discuté. Épreuve et laisse ouvert  A8.</w:t>
      </w:r>
    </w:p>
    <w:p>
      <w:pPr>
        <w:keepNext w:val="0"/>
      </w:pPr>
      <w:r>
        <w:rPr>
          <w:sz w:val="20"/>
        </w:rPr>
        <w:t>Rouge  Le texte évoque une inquiétude, une perte ou un affect ; il ne fournit pas une parole habitante recueillie.</w:t>
      </w:r>
    </w:p>
    <w:p>
      <w:pPr>
        <w:pStyle w:val="Heading2"/>
      </w:pPr>
      <w:r>
        <w:t>U51 Section 2 1</w:t>
      </w:r>
    </w:p>
    <w:p>
      <w:pPr>
        <w:keepNext/>
      </w:pPr>
      <w:r>
        <w:rPr>
          <w:sz w:val="20"/>
        </w:rPr>
        <w:t>Repère  « Il … l’enquête. » ; 39 mots.</w:t>
      </w:r>
    </w:p>
    <w:p>
      <w:pPr>
        <w:keepNext/>
      </w:pPr>
      <w:r>
        <w:rPr>
          <w:i/>
        </w:rPr>
        <w:t>Argument principal  « Il ne fabrique pas la peur et ne l’utilise pas pour conduire les participants vers une solution attendue ; il garantit que la gravité du possible demeure articulée à l’incertitude des preuves et à la possibilité de poursuivre l’enquête. »</w:t>
      </w:r>
    </w:p>
    <w:p>
      <w:pPr>
        <w:keepNext w:val="0"/>
      </w:pPr>
      <w:r>
        <w:rPr>
          <w:sz w:val="20"/>
        </w:rPr>
        <w:t>Page 9 ; principe [NR DF / NP IE] ; discuté. Épreuve et laisse ouvert  A8.</w:t>
      </w:r>
    </w:p>
    <w:p>
      <w:pPr>
        <w:pStyle w:val="Heading2"/>
      </w:pPr>
      <w:r>
        <w:t>U52 Section 2 1</w:t>
      </w:r>
    </w:p>
    <w:p>
      <w:pPr>
        <w:keepNext/>
      </w:pPr>
      <w:r>
        <w:rPr>
          <w:sz w:val="20"/>
        </w:rPr>
        <w:t>Repère  « Cette … l’action. » ; 115 mots.</w:t>
      </w:r>
    </w:p>
    <w:p>
      <w:pPr>
        <w:keepNext/>
      </w:pPr>
      <w:r>
        <w:rPr>
          <w:i/>
        </w:rPr>
        <w:t>Argument principal  « Dans les Suds globaux, les scénarios climatiques, sanitaires ou écologiques peuvent sembler abstraits face aux préoccupations immédiates liées à l’eau, à l’alimentation ou aux revenus. »</w:t>
      </w:r>
    </w:p>
    <w:p>
      <w:pPr>
        <w:keepNext w:val="0"/>
      </w:pPr>
      <w:r>
        <w:rPr>
          <w:sz w:val="20"/>
        </w:rPr>
        <w:t>Page 9 ; hypothèse [NR AF / NP IE] ; discuté. Épreuve et laisse ouvert  A8.</w:t>
      </w:r>
    </w:p>
    <w:p>
      <w:pPr>
        <w:pStyle w:val="Heading2"/>
      </w:pPr>
      <w:r>
        <w:t>U53 Section 2 1</w:t>
      </w:r>
    </w:p>
    <w:p>
      <w:pPr>
        <w:keepNext/>
      </w:pPr>
      <w:r>
        <w:rPr>
          <w:sz w:val="20"/>
        </w:rPr>
        <w:t>Repère  « La … devenir. » ; 119 mots.</w:t>
      </w:r>
    </w:p>
    <w:p>
      <w:pPr>
        <w:keepNext/>
      </w:pPr>
      <w:r>
        <w:rPr>
          <w:i/>
        </w:rPr>
        <w:t>Argument principal  « La notion d’habitabilité lui offre alors un horizon positif : ce qui doit être préservé n’est pas seulement une ressource ou une activité isolée, mais le tissu de relations qui permet de vivre dignement dans un milieu. »</w:t>
      </w:r>
    </w:p>
    <w:p>
      <w:pPr>
        <w:keepNext w:val="0"/>
      </w:pPr>
      <w:r>
        <w:rPr>
          <w:sz w:val="20"/>
        </w:rPr>
        <w:t>Page 9 à 10 ; principe [NR DF / NP IE] ; discuté. Épreuve et laisse ouvert  A8.</w:t>
      </w:r>
    </w:p>
    <w:p>
      <w:pPr>
        <w:pStyle w:val="Heading2"/>
      </w:pPr>
      <w:r>
        <w:t>U54 Section 2 2</w:t>
      </w:r>
    </w:p>
    <w:p>
      <w:pPr>
        <w:keepNext/>
      </w:pPr>
      <w:r>
        <w:rPr>
          <w:sz w:val="20"/>
        </w:rPr>
        <w:t>Repère  « Au … discutable. » ; 119 mots.</w:t>
      </w:r>
    </w:p>
    <w:p>
      <w:pPr>
        <w:keepNext/>
      </w:pPr>
      <w:r>
        <w:rPr>
          <w:i/>
        </w:rPr>
        <w:t>Argument principal  « Au sein du laboratoire habité, nos outils ne sont pas conçus comme des méthodes standardisées cherchant à résoudre des problèmes pré-identifiés, mais comme des dispositifs « minimaux » — non par leur nombre, mais par leur caractère agnostique et non prescriptif. »</w:t>
      </w:r>
    </w:p>
    <w:p>
      <w:pPr>
        <w:keepNext w:val="0"/>
      </w:pPr>
      <w:r>
        <w:rPr>
          <w:sz w:val="20"/>
        </w:rPr>
        <w:t>Page 10 ; définition [NR AF / NP AE] ; discuté. Épreuve et laisse ouvert  A7.</w:t>
      </w:r>
    </w:p>
    <w:p>
      <w:pPr>
        <w:pStyle w:val="Heading2"/>
      </w:pPr>
      <w:r>
        <w:t>U55 Section 2 2</w:t>
      </w:r>
    </w:p>
    <w:p>
      <w:pPr>
        <w:keepNext/>
      </w:pPr>
      <w:r>
        <w:rPr>
          <w:sz w:val="20"/>
        </w:rPr>
        <w:t>Repère  « Une … questions. » ; 72 mots.</w:t>
      </w:r>
    </w:p>
    <w:p>
      <w:pPr>
        <w:keepNext/>
      </w:pPr>
      <w:r>
        <w:rPr>
          <w:i/>
        </w:rPr>
        <w:t>Argument principal  « Une carte, un modèle, une frise, un jeu, un capteur ne sont jamais de simples intermédiaires entre un monde déjà constitué et ceux qui chercheraient à le connaître. »</w:t>
      </w:r>
    </w:p>
    <w:p>
      <w:pPr>
        <w:keepNext w:val="0"/>
      </w:pPr>
      <w:r>
        <w:rPr>
          <w:sz w:val="20"/>
        </w:rPr>
        <w:t>Page 10 ; théorie [NR AF / NP IF] ; discuté. Épreuve et laisse ouvert  A7.</w:t>
      </w:r>
    </w:p>
    <w:p>
      <w:pPr>
        <w:pStyle w:val="Heading2"/>
      </w:pPr>
      <w:r>
        <w:t>U56 Section 2 2</w:t>
      </w:r>
    </w:p>
    <w:p>
      <w:pPr>
        <w:keepNext/>
      </w:pPr>
      <w:r>
        <w:t>Unité lue  En permettant de mettre en lien cette vision systémique avec les forces motrices du territoire, ces outils structurent une dynamique en deux temps : une phase d’initialisation, indispensable pour construire un langage commun, établir une arène de confiance et identifier les leviers d’action, puis une seconde phase dédiée à la prise de décision et au passage à l’acte. C’est cette articulation, entre l’équipement de l’enquête collective et la trajectoire opérationnelle vers l'action, que nous détaillons ci-après.</w:t>
      </w:r>
    </w:p>
    <w:p>
      <w:pPr>
        <w:keepNext/>
      </w:pPr>
      <w:r>
        <w:rPr>
          <w:i/>
        </w:rPr>
        <w:t>Argument principal  « En permettant de mettre en lien cette vision systémique avec les forces motrices du territoire, ces outils structurent une dynamique en deux temps : une phase d’initialisation, indispensable pour construire un langage commun, établir une arène de confiance et identifier les leviers d’action, puis une seconde phase dédiée à la prise de décision et au passage à l’acte. »</w:t>
      </w:r>
    </w:p>
    <w:p>
      <w:pPr>
        <w:keepNext w:val="0"/>
      </w:pPr>
      <w:r>
        <w:rPr>
          <w:sz w:val="20"/>
        </w:rPr>
        <w:t>Page 10 ; méthode [NR AF / NP DF] ; discuté. Épreuve et laisse ouvert  A5.</w:t>
      </w:r>
    </w:p>
    <w:p>
      <w:pPr>
        <w:pStyle w:val="Heading2"/>
      </w:pPr>
      <w:r>
        <w:t>U57 Section 2 2</w:t>
      </w:r>
    </w:p>
    <w:p>
      <w:pPr>
        <w:keepNext/>
      </w:pPr>
      <w:r>
        <w:rPr>
          <w:sz w:val="20"/>
        </w:rPr>
        <w:t>Repère  « La … situation. » ; 113 mots.</w:t>
      </w:r>
    </w:p>
    <w:p>
      <w:pPr>
        <w:keepNext/>
      </w:pPr>
      <w:r>
        <w:rPr>
          <w:i/>
        </w:rPr>
        <w:t>Argument principal  « Il s’agit de demander à ceux qui l’habitent ce qui, pour eux, fait territoire. »</w:t>
      </w:r>
    </w:p>
    <w:p>
      <w:pPr>
        <w:keepNext w:val="0"/>
      </w:pPr>
      <w:r>
        <w:rPr>
          <w:sz w:val="20"/>
        </w:rPr>
        <w:t>Page 10 ; méthode [NR AF / NP DF] ; discuté. Épreuve et laisse ouvert  A7.</w:t>
      </w:r>
    </w:p>
    <w:p>
      <w:pPr>
        <w:pStyle w:val="Heading2"/>
      </w:pPr>
      <w:r>
        <w:t>U58 Section 2 2</w:t>
      </w:r>
    </w:p>
    <w:p>
      <w:pPr>
        <w:keepNext/>
      </w:pPr>
      <w:r>
        <w:rPr>
          <w:sz w:val="20"/>
        </w:rPr>
        <w:t>Repère  « D’autres … inévitable. » ; 111 mots.</w:t>
      </w:r>
    </w:p>
    <w:p>
      <w:pPr>
        <w:keepNext/>
      </w:pPr>
      <w:r>
        <w:rPr>
          <w:i/>
        </w:rPr>
        <w:t>Argument principal  « Une modélisation ARDI, une frise chrono-systémique ou une analyse de paysage n’ont pas besoin de prétendre à l'exhaustivité de la réalité pour devenir précieuses. »</w:t>
      </w:r>
    </w:p>
    <w:p>
      <w:pPr>
        <w:keepNext w:val="0"/>
      </w:pPr>
      <w:r>
        <w:rPr>
          <w:sz w:val="20"/>
        </w:rPr>
        <w:t>Page 10 ; méthode [NR AF / NP DF] ; discuté. Épreuve et laisse ouvert  A7.</w:t>
      </w:r>
    </w:p>
    <w:p>
      <w:pPr>
        <w:pStyle w:val="Heading2"/>
      </w:pPr>
      <w:r>
        <w:t>U59 Section 2 2</w:t>
      </w:r>
    </w:p>
    <w:p>
      <w:pPr>
        <w:keepNext/>
      </w:pPr>
      <w:r>
        <w:rPr>
          <w:sz w:val="20"/>
        </w:rPr>
        <w:t>Repère  « Un … position. » ; 35 mots.</w:t>
      </w:r>
    </w:p>
    <w:p>
      <w:pPr>
        <w:keepNext/>
      </w:pPr>
      <w:r>
        <w:rPr>
          <w:i/>
        </w:rPr>
        <w:t>Argument principal  « Un modèle ne donne pas la réponse ; il oblige ceux qui le construisent à expliciter leurs hypothèses et à découvrir que ce qu’ils tenaient pour évident ne l’était peut-être que depuis leur propre position. »</w:t>
      </w:r>
    </w:p>
    <w:p>
      <w:pPr>
        <w:keepNext w:val="0"/>
      </w:pPr>
      <w:r>
        <w:rPr>
          <w:sz w:val="20"/>
        </w:rPr>
        <w:t>Page 11 ; hypothèse [NR AF / NP IE] ; discuté. Épreuve et laisse ouvert  A7.</w:t>
      </w:r>
    </w:p>
    <w:p>
      <w:pPr>
        <w:pStyle w:val="Heading2"/>
      </w:pPr>
      <w:r>
        <w:t>U60 Section 2 2</w:t>
      </w:r>
    </w:p>
    <w:p>
      <w:pPr>
        <w:keepNext/>
      </w:pPr>
      <w:r>
        <w:rPr>
          <w:sz w:val="20"/>
        </w:rPr>
        <w:t>Repère  « Les … collectif. » ; 96 mots.</w:t>
      </w:r>
    </w:p>
    <w:p>
      <w:pPr>
        <w:keepNext/>
      </w:pPr>
      <w:r>
        <w:rPr>
          <w:i/>
        </w:rPr>
        <w:t>Argument principal  « Explorer des futurs possibles, c’est créer les conditions pour que des participants puissent demander : si ceci advenait, qu’est-ce qui deviendrait précieux ? qu’est-ce qui deviendrait intolérable ? de qui ou de quoi découvririons-nous que nous dépendons ? »</w:t>
      </w:r>
    </w:p>
    <w:p>
      <w:pPr>
        <w:keepNext w:val="0"/>
      </w:pPr>
      <w:r>
        <w:rPr>
          <w:sz w:val="20"/>
        </w:rPr>
        <w:t>Page 11 ; méthode [NR AF / NP DF] ; discuté. Épreuve et laisse ouvert  A8.</w:t>
      </w:r>
    </w:p>
    <w:p>
      <w:pPr>
        <w:pStyle w:val="Heading2"/>
      </w:pPr>
      <w:r>
        <w:t>U61 Section 2 2</w:t>
      </w:r>
    </w:p>
    <w:p>
      <w:pPr>
        <w:keepNext/>
      </w:pPr>
      <w:r>
        <w:rPr>
          <w:sz w:val="20"/>
        </w:rPr>
        <w:t>Repère  « Le … penser. » ; 33 mots.</w:t>
      </w:r>
    </w:p>
    <w:p>
      <w:pPr>
        <w:keepNext/>
      </w:pPr>
      <w:r>
        <w:rPr>
          <w:i/>
        </w:rPr>
        <w:t>Argument principal  « Le futur fonctionne alors comme un opérateur de dépaysement du présent : en imaginant que les choses puissent être autrement, il devient possible de découvrir ce que le présent empêchait encore de penser. »</w:t>
      </w:r>
    </w:p>
    <w:p>
      <w:pPr>
        <w:keepNext w:val="0"/>
      </w:pPr>
      <w:r>
        <w:rPr>
          <w:sz w:val="20"/>
        </w:rPr>
        <w:t>Page 11 ; hypothèse [NR AF / NP IE] ; discuté. Épreuve et laisse ouvert  A8.</w:t>
      </w:r>
    </w:p>
    <w:p>
      <w:pPr>
        <w:pStyle w:val="Heading2"/>
      </w:pPr>
      <w:r>
        <w:t>U62 Section 2 2</w:t>
      </w:r>
    </w:p>
    <w:p>
      <w:pPr>
        <w:keepNext/>
      </w:pPr>
      <w:r>
        <w:rPr>
          <w:sz w:val="20"/>
        </w:rPr>
        <w:t>Repère  « Cette … irréversible. » ; 111 mots.</w:t>
      </w:r>
    </w:p>
    <w:p>
      <w:pPr>
        <w:keepNext/>
      </w:pPr>
      <w:r>
        <w:rPr>
          <w:i/>
        </w:rPr>
        <w:t>Argument principal  « Celui qui regardait devient susceptible d’intervenir ; celui qui pensait savoir ce qu’il faudrait faire découvre ce que sa proposition déclenche lorsqu’elle rencontre d’autres gestes, d’autres résistances et d’autres obligations. »</w:t>
      </w:r>
    </w:p>
    <w:p>
      <w:pPr>
        <w:keepNext w:val="0"/>
      </w:pPr>
      <w:r>
        <w:rPr>
          <w:sz w:val="20"/>
        </w:rPr>
        <w:t>Page 11 ; hypothèse [NR AF / NP IE] ; discuté. Épreuve et laisse ouvert  A7.</w:t>
      </w:r>
    </w:p>
    <w:p>
      <w:pPr>
        <w:pStyle w:val="Heading2"/>
      </w:pPr>
      <w:r>
        <w:t>U63 Section 2 2</w:t>
      </w:r>
    </w:p>
    <w:p>
      <w:pPr>
        <w:keepNext/>
      </w:pPr>
      <w:r>
        <w:rPr>
          <w:sz w:val="20"/>
        </w:rPr>
        <w:t>Repère  « La … possible. » ; 105 mots.</w:t>
      </w:r>
    </w:p>
    <w:p>
      <w:pPr>
        <w:keepNext/>
      </w:pPr>
      <w:r>
        <w:rPr>
          <w:i/>
        </w:rPr>
        <w:t>Argument principal  « La modélisation d’accompagnement, les jeux de rôles et les simulations participatives ajoutent une autre exigence : celle de construire des représentations qui ne puissent jamais totalement s’émanciper de ceux qu’elles concernent. »</w:t>
      </w:r>
    </w:p>
    <w:p>
      <w:pPr>
        <w:keepNext w:val="0"/>
      </w:pPr>
      <w:r>
        <w:rPr>
          <w:sz w:val="20"/>
        </w:rPr>
        <w:t>Page 11 ; principe [NR DF / NP IE] ; discuté. Épreuve et laisse ouvert  A7.</w:t>
      </w:r>
    </w:p>
    <w:p>
      <w:pPr>
        <w:keepNext w:val="0"/>
      </w:pPr>
      <w:r>
        <w:rPr>
          <w:sz w:val="20"/>
        </w:rPr>
        <w:t>Bleu  ComMod à vérifier.</w:t>
      </w:r>
    </w:p>
    <w:p>
      <w:pPr>
        <w:pStyle w:val="Heading2"/>
      </w:pPr>
      <w:r>
        <w:t>U64 Section 2 2</w:t>
      </w:r>
    </w:p>
    <w:p>
      <w:pPr>
        <w:keepNext/>
      </w:pPr>
      <w:r>
        <w:rPr>
          <w:sz w:val="20"/>
        </w:rPr>
        <w:t>Repère  « Le … » » ; 43 mots.</w:t>
      </w:r>
    </w:p>
    <w:p>
      <w:pPr>
        <w:keepNext/>
      </w:pPr>
      <w:r>
        <w:rPr>
          <w:i/>
        </w:rPr>
        <w:t>Argument principal  « Le modèle est alors moins une représentation du système qu’une proposition faite au collectif : « si nous décrivons ainsi nos interdépendances, qu’est-ce que cela nous fait voir ? »</w:t>
      </w:r>
    </w:p>
    <w:p>
      <w:pPr>
        <w:keepNext w:val="0"/>
      </w:pPr>
      <w:r>
        <w:rPr>
          <w:sz w:val="20"/>
        </w:rPr>
        <w:t>Page 11 ; méthode [NR AF / NP DF] ; discuté. Épreuve et laisse ouvert  A7.</w:t>
      </w:r>
    </w:p>
    <w:p>
      <w:pPr>
        <w:pStyle w:val="Heading2"/>
      </w:pPr>
      <w:r>
        <w:t>U65 Section 2 2</w:t>
      </w:r>
    </w:p>
    <w:p>
      <w:pPr>
        <w:keepNext/>
      </w:pPr>
      <w:r>
        <w:rPr>
          <w:sz w:val="20"/>
        </w:rPr>
        <w:t>Repère  « La … tangible. » ; 95 mots.</w:t>
      </w:r>
    </w:p>
    <w:p>
      <w:pPr>
        <w:keepNext/>
      </w:pPr>
      <w:r>
        <w:rPr>
          <w:i/>
        </w:rPr>
        <w:t>Argument principal  « Une mallette de qualité de l’eau, un protocole accessible ou une enquête menée avec des écoles peuvent modifier cette distribution des capacités. »</w:t>
      </w:r>
    </w:p>
    <w:p>
      <w:pPr>
        <w:keepNext w:val="0"/>
      </w:pPr>
      <w:r>
        <w:rPr>
          <w:sz w:val="20"/>
        </w:rPr>
        <w:t>Page 11 à 12 ; hypothèse [NR AF / NP IE] ; discuté. Épreuve et laisse ouvert  A7.</w:t>
      </w:r>
    </w:p>
    <w:p>
      <w:pPr>
        <w:pStyle w:val="Heading2"/>
      </w:pPr>
      <w:r>
        <w:t>U66 Section 2 2</w:t>
      </w:r>
    </w:p>
    <w:p>
      <w:pPr>
        <w:keepNext/>
      </w:pPr>
      <w:r>
        <w:t>Unité lue  Ouvrir un instrument, apprendre à le fabriquer, à l’étalonner, à comprendre ses limites et à réparer ce qui cesse de fonctionner revient à refuser qu’une boîte noire décide silencieusement de ce qui mérite d’être mesuré. Un réseau de capteurs bricolés ne devient évidemment pas juste parce qu’il est citoyen. Mais sa fabrication collective rend de nouvelles questions possibles : pourquoi mesure-t-on ici plutôt que là ? selon quel rythme ? que perd-on lorsqu’une moyenne lisse les variations ? quelles expériences territoriales échappent aux stations officielles ? L’autonomie métrologique ne réside donc pas dans la fiction d’une indépendance totale envers les institutions scientifiques.</w:t>
      </w:r>
    </w:p>
    <w:p>
      <w:pPr>
        <w:keepNext/>
      </w:pPr>
      <w:r>
        <w:rPr>
          <w:i/>
        </w:rPr>
        <w:t>Argument principal  « Ouvrir un instrument, apprendre à le fabriquer, à l’étalonner, à comprendre ses limites et à réparer ce qui cesse de fonctionner revient à refuser qu’une boîte noire décide silencieusement de ce qui mérite d’être mesuré. »</w:t>
      </w:r>
    </w:p>
    <w:p>
      <w:pPr>
        <w:keepNext w:val="0"/>
      </w:pPr>
      <w:r>
        <w:rPr>
          <w:sz w:val="20"/>
        </w:rPr>
        <w:t>Page 12 ; méthode [NR AF / NP DF] ; discuté. Épreuve et laisse ouvert  A7.</w:t>
      </w:r>
    </w:p>
    <w:p>
      <w:pPr>
        <w:pStyle w:val="Heading2"/>
      </w:pPr>
      <w:r>
        <w:t>U67 Section 2 2</w:t>
      </w:r>
    </w:p>
    <w:p>
      <w:pPr>
        <w:keepNext/>
      </w:pPr>
      <w:r>
        <w:rPr>
          <w:sz w:val="20"/>
        </w:rPr>
        <w:t>Repère  « Elle … considération. » ; 37 mots.</w:t>
      </w:r>
    </w:p>
    <w:p>
      <w:pPr>
        <w:keepNext/>
      </w:pPr>
      <w:r>
        <w:rPr>
          <w:i/>
        </w:rPr>
        <w:t>Argument principal  « Elle tient plutôt à une nouvelle possibilité de leur répondre, de les questionner, de confronter leurs données à d’autres prises sur le milieu et de demander que ce qui était auparavant négligeable soit désormais pris en considération. »</w:t>
      </w:r>
    </w:p>
    <w:p>
      <w:pPr>
        <w:keepNext w:val="0"/>
      </w:pPr>
      <w:r>
        <w:rPr>
          <w:sz w:val="20"/>
        </w:rPr>
        <w:t>Page 12 ; définition [NR AF / NP AE] ; discuté. Épreuve et laisse ouvert  A7.</w:t>
      </w:r>
    </w:p>
    <w:p>
      <w:pPr>
        <w:pStyle w:val="Heading2"/>
      </w:pPr>
      <w:r>
        <w:t>U68 Section 2 2</w:t>
      </w:r>
    </w:p>
    <w:p>
      <w:pPr>
        <w:keepNext/>
      </w:pPr>
      <w:r>
        <w:rPr>
          <w:sz w:val="20"/>
        </w:rPr>
        <w:t>Repère  « Aucune … d’autres. » ; 112 mots.</w:t>
      </w:r>
    </w:p>
    <w:p>
      <w:pPr>
        <w:keepNext/>
      </w:pPr>
      <w:r>
        <w:rPr>
          <w:i/>
        </w:rPr>
        <w:t>Argument principal  « Leur intérêt tient aussi à ce que ces outils peuvent mettre en mouvement : déplacer une attention, rendre perceptible une dépendance, faire apparaître une contradiction, obliger à reformuler une question. »</w:t>
      </w:r>
    </w:p>
    <w:p>
      <w:pPr>
        <w:keepNext w:val="0"/>
      </w:pPr>
      <w:r>
        <w:rPr>
          <w:sz w:val="20"/>
        </w:rPr>
        <w:t>Page 12 ; principe [NR DF / NP IE] ; discuté. Épreuve et laisse ouvert  A7.</w:t>
      </w:r>
    </w:p>
    <w:p>
      <w:pPr>
        <w:pStyle w:val="Heading2"/>
      </w:pPr>
      <w:r>
        <w:t>U69 Section 2 2</w:t>
      </w:r>
    </w:p>
    <w:p>
      <w:pPr>
        <w:keepNext/>
      </w:pPr>
      <w:r>
        <w:rPr>
          <w:sz w:val="20"/>
        </w:rPr>
        <w:t>Repère  « C’est … matière. » ; 105 mots.</w:t>
      </w:r>
    </w:p>
    <w:p>
      <w:pPr>
        <w:keepNext/>
      </w:pPr>
      <w:r>
        <w:rPr>
          <w:i/>
        </w:rPr>
        <w:t>Argument principal  « C’est aussi ce déplacement qui peut devenir l’objet d’un apprentissage entre Living Labs. »</w:t>
      </w:r>
    </w:p>
    <w:p>
      <w:pPr>
        <w:keepNext w:val="0"/>
      </w:pPr>
      <w:r>
        <w:rPr>
          <w:sz w:val="20"/>
        </w:rPr>
        <w:t>Page 12 ; conjecture [NR IF / NP DE] ; discuté. Épreuve et laisse ouvert  A12.</w:t>
      </w:r>
    </w:p>
    <w:p>
      <w:pPr>
        <w:pStyle w:val="Heading2"/>
      </w:pPr>
      <w:r>
        <w:t>U70 Section 2 2</w:t>
      </w:r>
    </w:p>
    <w:p>
      <w:pPr>
        <w:keepNext/>
      </w:pPr>
      <w:r>
        <w:rPr>
          <w:sz w:val="20"/>
        </w:rPr>
        <w:t>Repère  « Ce … d’autres. » ; 29 mots.</w:t>
      </w:r>
    </w:p>
    <w:p>
      <w:pPr>
        <w:keepNext/>
      </w:pPr>
      <w:r>
        <w:rPr>
          <w:i/>
        </w:rPr>
        <w:t>Argument principal  « Ce qui circule entre les collectifs, ce ne sont pas des solutions détachées de leurs conditions d’existence, mais des questions, des hésitations et des déplacements capables d’en provoquer d’autres. »</w:t>
      </w:r>
    </w:p>
    <w:p>
      <w:pPr>
        <w:keepNext w:val="0"/>
      </w:pPr>
      <w:r>
        <w:rPr>
          <w:sz w:val="20"/>
        </w:rPr>
        <w:t>Page 12 ; théorie [NR AF / NP IF] ; discuté. Épreuve et laisse ouvert  A12.</w:t>
      </w:r>
    </w:p>
    <w:p>
      <w:pPr>
        <w:pStyle w:val="Heading2"/>
      </w:pPr>
      <w:r>
        <w:t>U71 Section 2 2</w:t>
      </w:r>
    </w:p>
    <w:p>
      <w:pPr>
        <w:keepNext/>
      </w:pPr>
      <w:r>
        <w:rPr>
          <w:sz w:val="20"/>
        </w:rPr>
        <w:t>Repère  « À … possible. » ; 120 mots.</w:t>
      </w:r>
    </w:p>
    <w:p>
      <w:pPr>
        <w:keepNext/>
      </w:pPr>
      <w:r>
        <w:rPr>
          <w:i/>
        </w:rPr>
        <w:t>Argument principal  « De leurs analyses situées, de leurs récits et de leurs controverses peut émerger un monde en commun — non pas un consensus qui effacerait les différences, mais une manière provisoire de tenir ensemble ce que chacun a appris à voir. »</w:t>
      </w:r>
    </w:p>
    <w:p>
      <w:pPr>
        <w:keepNext w:val="0"/>
      </w:pPr>
      <w:r>
        <w:rPr>
          <w:sz w:val="20"/>
        </w:rPr>
        <w:t>Page 12 ; conjecture [NR IF / NP DE] ; discuté. Épreuve et laisse ouvert  A12.</w:t>
      </w:r>
    </w:p>
    <w:p>
      <w:pPr>
        <w:pStyle w:val="Heading2"/>
      </w:pPr>
      <w:r>
        <w:t>U72 Section 2 2</w:t>
      </w:r>
    </w:p>
    <w:p>
      <w:pPr>
        <w:keepNext/>
      </w:pPr>
      <w:r>
        <w:rPr>
          <w:sz w:val="20"/>
        </w:rPr>
        <w:t>Repère  « Les … transforme. » ; 27 mots.</w:t>
      </w:r>
    </w:p>
    <w:p>
      <w:pPr>
        <w:keepNext/>
      </w:pPr>
      <w:r>
        <w:rPr>
          <w:i/>
        </w:rPr>
        <w:t>Argument principal  « Les outils ne tracent donc pas la trajectoire du Living Lab : ils l’aident à devenir attentif à la manière dont, chemin faisant, cette trajectoire se transforme. »</w:t>
      </w:r>
    </w:p>
    <w:p>
      <w:pPr>
        <w:keepNext w:val="0"/>
      </w:pPr>
      <w:r>
        <w:rPr>
          <w:sz w:val="20"/>
        </w:rPr>
        <w:t>Page 12 ; hypothèse [NR AF / NP IE] ; discuté. Épreuve et laisse ouvert  A7.</w:t>
      </w:r>
    </w:p>
    <w:p>
      <w:pPr>
        <w:pStyle w:val="Heading2"/>
      </w:pPr>
      <w:r>
        <w:t>U73 Section 2 3</w:t>
      </w:r>
    </w:p>
    <w:p>
      <w:pPr>
        <w:keepNext/>
      </w:pPr>
      <w:r>
        <w:t>Unité lue  Les outils présentés précédemment ne prennent sens qu’au regard des fonctions qu’ils permettent au Living Lab d’exercer, d’expérimenter. Ces fonctions ne constituent pas une succession d’étapes. Un collectif peut avoir besoin de revenir à l’écoute après une expérimentation, de rouvrir une traduction lorsqu’un désaccord apparaît, ou de projeter des futurs pour reformuler un problème présent. Elles constituent plutôt quatre capacités du dispositif : écouter et composer, traduire, expérimenter et se projeter. Leur articulation permet au Living Lab de ne pas réduire l’enquête à la recherche d’une solution, mais de suivre la manière dont un collectif apprend progressivement à habiter un problème.</w:t>
      </w:r>
    </w:p>
    <w:p>
      <w:pPr>
        <w:keepNext/>
      </w:pPr>
      <w:r>
        <w:rPr>
          <w:i/>
        </w:rPr>
        <w:t>Argument principal  « Elles constituent plutôt quatre capacités du dispositif : écouter et composer, traduire, expérimenter et se projeter. »</w:t>
      </w:r>
    </w:p>
    <w:p>
      <w:pPr>
        <w:keepNext w:val="0"/>
      </w:pPr>
      <w:r>
        <w:rPr>
          <w:sz w:val="20"/>
        </w:rPr>
        <w:t>Page 13 ; structure [NR IF / NP AF] ; discuté. Épreuve et laisse ouvert  A9.</w:t>
      </w:r>
    </w:p>
    <w:p>
      <w:pPr>
        <w:pStyle w:val="Heading2"/>
      </w:pPr>
      <w:r>
        <w:t>U74 Section 2 3</w:t>
      </w:r>
    </w:p>
    <w:p>
      <w:pPr>
        <w:keepNext/>
      </w:pPr>
      <w:r>
        <w:rPr>
          <w:sz w:val="20"/>
        </w:rPr>
        <w:t>Repère  « La … fragiles. » ; 101 mots.</w:t>
      </w:r>
    </w:p>
    <w:p>
      <w:pPr>
        <w:keepNext/>
      </w:pPr>
      <w:r>
        <w:rPr>
          <w:i/>
        </w:rPr>
        <w:t>Argument principal  « Il ne s’agit pas seulement de recueillir des opinions ou d’identifier des « parties prenantes », mais de comprendre ce qui met les personnes et les collectifs en mouvement : une inquiétude sanitaire, une dépendance économique, un attachement à une pratique, une colère, une fatigue, un sentiment d’injustice, mais aussi ce que chacun craint de perdre ou souhaite pouvoir maintenir. »</w:t>
      </w:r>
    </w:p>
    <w:p>
      <w:pPr>
        <w:keepNext w:val="0"/>
      </w:pPr>
      <w:r>
        <w:rPr>
          <w:sz w:val="20"/>
        </w:rPr>
        <w:t>Page 13 ; méthode [NR AF / NP DF] ; discuté. Épreuve et laisse ouvert  A9.</w:t>
      </w:r>
    </w:p>
    <w:p>
      <w:pPr>
        <w:keepNext w:val="0"/>
      </w:pPr>
      <w:r>
        <w:rPr>
          <w:sz w:val="20"/>
        </w:rPr>
        <w:t>Rouge  Le texte évoque une inquiétude, une perte ou un affect ; il ne fournit pas une parole habitante recueillie.</w:t>
      </w:r>
    </w:p>
    <w:p>
      <w:pPr>
        <w:pStyle w:val="Heading2"/>
      </w:pPr>
      <w:r>
        <w:t>U75 Section 2 3</w:t>
      </w:r>
    </w:p>
    <w:p>
      <w:pPr>
        <w:keepNext/>
      </w:pPr>
      <w:r>
        <w:rPr>
          <w:sz w:val="20"/>
        </w:rPr>
        <w:t>Repère  « Composer … ensemble. » ; 60 mots.</w:t>
      </w:r>
    </w:p>
    <w:p>
      <w:pPr>
        <w:keepNext/>
      </w:pPr>
      <w:r>
        <w:rPr>
          <w:i/>
        </w:rPr>
        <w:t>Argument principal  « Composer signifie alors rendre ces expériences susceptibles d’entrer en relation. »</w:t>
      </w:r>
    </w:p>
    <w:p>
      <w:pPr>
        <w:keepNext w:val="0"/>
      </w:pPr>
      <w:r>
        <w:rPr>
          <w:sz w:val="20"/>
        </w:rPr>
        <w:t>Page 13 ; méthode [NR AF / NP DF] ; discuté. Épreuve et laisse ouvert  A9.</w:t>
      </w:r>
    </w:p>
    <w:p>
      <w:pPr>
        <w:pStyle w:val="Heading2"/>
      </w:pPr>
      <w:r>
        <w:t>U76 Section 2 3</w:t>
      </w:r>
    </w:p>
    <w:p>
      <w:pPr>
        <w:keepNext/>
      </w:pPr>
      <w:r>
        <w:rPr>
          <w:sz w:val="20"/>
        </w:rPr>
        <w:t>Repère  « La … situation. » ; 75 mots.</w:t>
      </w:r>
    </w:p>
    <w:p>
      <w:pPr>
        <w:keepNext/>
      </w:pPr>
      <w:r>
        <w:rPr>
          <w:i/>
        </w:rPr>
        <w:t>Argument principal  « La deuxième fonction est celle de la traduction entre des mondes qui n’utilisent ni les mêmes catégories, ni les mêmes preuves, ni les mêmes manières de qualifier ce qui arrive. »</w:t>
      </w:r>
    </w:p>
    <w:p>
      <w:pPr>
        <w:keepNext w:val="0"/>
      </w:pPr>
      <w:r>
        <w:rPr>
          <w:sz w:val="20"/>
        </w:rPr>
        <w:t>Page 13 ; définition [NR AF / NP AE] ; discuté. Épreuve et laisse ouvert  A9.</w:t>
      </w:r>
    </w:p>
    <w:p>
      <w:pPr>
        <w:pStyle w:val="Heading2"/>
      </w:pPr>
      <w:r>
        <w:t>U77 Section 2 3</w:t>
      </w:r>
    </w:p>
    <w:p>
      <w:pPr>
        <w:keepNext/>
      </w:pPr>
      <w:r>
        <w:rPr>
          <w:sz w:val="20"/>
        </w:rPr>
        <w:t>Repère  « Le … parle. » ; 90 mots.</w:t>
      </w:r>
    </w:p>
    <w:p>
      <w:pPr>
        <w:keepNext/>
      </w:pPr>
      <w:r>
        <w:rPr>
          <w:i/>
        </w:rPr>
        <w:t>Argument principal  « Il s’agit plutôt de rendre explicites leurs conditions de production, leurs incertitudes et ce qu’elles permettent ou non d’affirmer ensemble. »</w:t>
      </w:r>
    </w:p>
    <w:p>
      <w:pPr>
        <w:keepNext w:val="0"/>
      </w:pPr>
      <w:r>
        <w:rPr>
          <w:sz w:val="20"/>
        </w:rPr>
        <w:t>Page 13 ; méthode [NR AF / NP DF] ; discuté. Épreuve et laisse ouvert  A9.</w:t>
      </w:r>
    </w:p>
    <w:p>
      <w:pPr>
        <w:pStyle w:val="Heading2"/>
      </w:pPr>
      <w:r>
        <w:t>U78 Section 2 3</w:t>
      </w:r>
    </w:p>
    <w:p>
      <w:pPr>
        <w:keepNext/>
      </w:pPr>
      <w:r>
        <w:rPr>
          <w:sz w:val="20"/>
        </w:rPr>
        <w:t>Repère  « Le … l’habitent. » ; 64 mots.</w:t>
      </w:r>
    </w:p>
    <w:p>
      <w:pPr>
        <w:keepNext/>
      </w:pPr>
      <w:r>
        <w:rPr>
          <w:i/>
        </w:rPr>
        <w:t>Argument principal  « Le Living Lab doit également permettre de mettre les propositions à l’épreuve. »</w:t>
      </w:r>
    </w:p>
    <w:p>
      <w:pPr>
        <w:keepNext w:val="0"/>
      </w:pPr>
      <w:r>
        <w:rPr>
          <w:sz w:val="20"/>
        </w:rPr>
        <w:t>Page 14 ; méthode [NR AF / NP DF] ; discuté. Épreuve et laisse ouvert  A9.</w:t>
      </w:r>
    </w:p>
    <w:p>
      <w:pPr>
        <w:pStyle w:val="Heading2"/>
      </w:pPr>
      <w:r>
        <w:t>U79 Section 2 3</w:t>
      </w:r>
    </w:p>
    <w:p>
      <w:pPr>
        <w:keepNext/>
      </w:pPr>
      <w:r>
        <w:t>Unité lue  L’expérimentation devient ainsi une manière de prolonger l’enquête. Une intervention peut fonctionner techniquement tout en produisant un coût impossible à supporter ; une pratique jugée prometteuse peut déplacer le problème vers un autre compartiment du système ; une solution rejetée au départ peut devenir envisageable lorsque ses conditions de mise en œuvre sont recomposées. L’enjeu n’est donc pas seulement de demander si une solution « marche », mais dans quelles relations elle peut tenir : avec quelles pratiques, quelles économies, quels usages, quels êtres vivants, quelles institutions et quelles formes de responsabilité. Expérimenter revient à apprendre ce qu’une proposition fait au milieu autant que ce que le milieu fait à la proposition.</w:t>
      </w:r>
    </w:p>
    <w:p>
      <w:pPr>
        <w:keepNext/>
      </w:pPr>
      <w:r>
        <w:rPr>
          <w:i/>
        </w:rPr>
        <w:t>Argument principal  « Une intervention peut fonctionner techniquement tout en produisant un coût impossible à supporter ; une pratique jugée prometteuse peut déplacer le problème vers un autre compartiment du système ; une solution rejetée au départ peut devenir envisageable lorsque ses conditions de mise en œuvre sont recomposées. »</w:t>
      </w:r>
    </w:p>
    <w:p>
      <w:pPr>
        <w:keepNext w:val="0"/>
      </w:pPr>
      <w:r>
        <w:rPr>
          <w:sz w:val="20"/>
        </w:rPr>
        <w:t>Page 14 ; hypothèse [NR AF / NP IE] ; discuté. Épreuve et laisse ouvert  A10.</w:t>
      </w:r>
    </w:p>
    <w:p>
      <w:pPr>
        <w:pStyle w:val="Heading2"/>
      </w:pPr>
      <w:r>
        <w:t>U80 Section 2 3</w:t>
      </w:r>
    </w:p>
    <w:p>
      <w:pPr>
        <w:keepNext/>
      </w:pPr>
      <w:r>
        <w:rPr>
          <w:sz w:val="20"/>
        </w:rPr>
        <w:t>Repère  « Cette … recomposent. » ; 119 mots.</w:t>
      </w:r>
    </w:p>
    <w:p>
      <w:pPr>
        <w:keepNext/>
      </w:pPr>
      <w:r>
        <w:rPr>
          <w:i/>
        </w:rPr>
        <w:t>Argument principal  « L’expérimentation ne tient pas dans un geste unique, mais dans la possibilité de refaire, d’ajuster et de mettre à nouveau à l’épreuve ce qui semblait acquis. »</w:t>
      </w:r>
    </w:p>
    <w:p>
      <w:pPr>
        <w:keepNext w:val="0"/>
      </w:pPr>
      <w:r>
        <w:rPr>
          <w:sz w:val="20"/>
        </w:rPr>
        <w:t>Page 14 ; méthode [NR AF / NP DF] ; discuté. Épreuve et laisse ouvert  A10.</w:t>
      </w:r>
    </w:p>
    <w:p>
      <w:pPr>
        <w:pStyle w:val="Heading2"/>
      </w:pPr>
      <w:r>
        <w:t>U81 Section 2 3</w:t>
      </w:r>
    </w:p>
    <w:p>
      <w:pPr>
        <w:keepNext/>
      </w:pPr>
      <w:r>
        <w:rPr>
          <w:sz w:val="20"/>
        </w:rPr>
        <w:t>Repère  « Expérimenter … transformer. » ; 27 mots.</w:t>
      </w:r>
    </w:p>
    <w:p>
      <w:pPr>
        <w:keepNext/>
      </w:pPr>
      <w:r>
        <w:rPr>
          <w:i/>
        </w:rPr>
        <w:t>Argument principal  « Expérimenter devient ainsi une manière d’éprouver collectivement comment une situation nous affecte et comment, en retour, nos manières de voir, d’agir et d’être ensemble peuvent se transformer. »</w:t>
      </w:r>
    </w:p>
    <w:p>
      <w:pPr>
        <w:keepNext w:val="0"/>
      </w:pPr>
      <w:r>
        <w:rPr>
          <w:sz w:val="20"/>
        </w:rPr>
        <w:t>Page 14 ; hypothèse [NR AF / NP IE] ; discuté. Épreuve et laisse ouvert  A10.</w:t>
      </w:r>
    </w:p>
    <w:p>
      <w:pPr>
        <w:pStyle w:val="Heading2"/>
      </w:pPr>
      <w:r>
        <w:t>U82 Section 2 3</w:t>
      </w:r>
    </w:p>
    <w:p>
      <w:pPr>
        <w:keepNext/>
      </w:pPr>
      <w:r>
        <w:rPr>
          <w:sz w:val="20"/>
        </w:rPr>
        <w:t>Repère  « Enfin, … aujourd’hui. » ; 75 mots.</w:t>
      </w:r>
    </w:p>
    <w:p>
      <w:pPr>
        <w:keepNext/>
      </w:pPr>
      <w:r>
        <w:rPr>
          <w:i/>
        </w:rPr>
        <w:t>Argument principal  « Se projeter consiste à demander ce que certaines décisions présentes pourraient rendre possible, difficile ou irréversible, et à mettre ces futurs en relation avec ce à quoi les habitants tiennent aujourd’hui. »</w:t>
      </w:r>
    </w:p>
    <w:p>
      <w:pPr>
        <w:keepNext w:val="0"/>
      </w:pPr>
      <w:r>
        <w:rPr>
          <w:sz w:val="20"/>
        </w:rPr>
        <w:t>Page 14 ; méthode [NR AF / NP DF] ; discuté. Épreuve et laisse ouvert  A8.</w:t>
      </w:r>
    </w:p>
    <w:p>
      <w:pPr>
        <w:pStyle w:val="Heading2"/>
      </w:pPr>
      <w:r>
        <w:t>U83 Section 2 3</w:t>
      </w:r>
    </w:p>
    <w:p>
      <w:pPr>
        <w:keepNext/>
      </w:pPr>
      <w:r>
        <w:rPr>
          <w:sz w:val="20"/>
        </w:rPr>
        <w:t>Repère  « Cette … prendre. » ; 90 mots.</w:t>
      </w:r>
    </w:p>
    <w:p>
      <w:pPr>
        <w:keepNext/>
      </w:pPr>
      <w:r>
        <w:rPr>
          <w:i/>
        </w:rPr>
        <w:t>Argument principal  « Imaginer un territoire souhaitable à vingt ou cinquante ans permet ainsi de revenir vers le présent en identifiant les bifurcations, les apprentissages et les expérimentations qui pourraient commencer dès maintenant. »</w:t>
      </w:r>
    </w:p>
    <w:p>
      <w:pPr>
        <w:keepNext w:val="0"/>
      </w:pPr>
      <w:r>
        <w:rPr>
          <w:sz w:val="20"/>
        </w:rPr>
        <w:t>Page 14 ; méthode [NR AF / NP DF] ; discuté. Épreuve et laisse ouvert  A8.</w:t>
      </w:r>
    </w:p>
    <w:p>
      <w:pPr>
        <w:pStyle w:val="Heading2"/>
      </w:pPr>
      <w:r>
        <w:t>U84 Section 2 3</w:t>
      </w:r>
    </w:p>
    <w:p>
      <w:pPr>
        <w:keepNext/>
      </w:pPr>
      <w:r>
        <w:rPr>
          <w:sz w:val="20"/>
        </w:rPr>
        <w:t>Repère  « Ces … transformation. » ; 97 mots.</w:t>
      </w:r>
    </w:p>
    <w:p>
      <w:pPr>
        <w:keepNext/>
      </w:pPr>
      <w:r>
        <w:rPr>
          <w:i/>
        </w:rPr>
        <w:t>Argument principal  « Il oblige à considérer le territoire comme un milieu vécu, traversé par des dépendances entre humains, autres vivants, sols, eaux, infrastructures et pratiques. »</w:t>
      </w:r>
    </w:p>
    <w:p>
      <w:pPr>
        <w:keepNext w:val="0"/>
      </w:pPr>
      <w:r>
        <w:rPr>
          <w:sz w:val="20"/>
        </w:rPr>
        <w:t>Page 15 ; définition [NR AF / NP AE] ; discuté. Épreuve et laisse ouvert  A4.</w:t>
      </w:r>
    </w:p>
    <w:p>
      <w:pPr>
        <w:pStyle w:val="Heading2"/>
      </w:pPr>
      <w:r>
        <w:t>U85 Section 2 3</w:t>
      </w:r>
    </w:p>
    <w:p>
      <w:pPr>
        <w:keepNext/>
      </w:pPr>
      <w:r>
        <w:rPr>
          <w:sz w:val="20"/>
        </w:rPr>
        <w:t>Repère  « Mettre … collectif. » ; 81 mots.</w:t>
      </w:r>
    </w:p>
    <w:p>
      <w:pPr>
        <w:keepNext/>
      </w:pPr>
      <w:r>
        <w:rPr>
          <w:i/>
        </w:rPr>
        <w:t>Argument principal  « Cela revient à déplacer la question du Living Lab : non plus seulement « quelle solution pouvons-nous tester ici ? », mais « quelles relations rendent ce milieu habitable, pour qui, et comment nos expérimentations les transforment-elles ? » Écouter, traduire, expérimenter et se projeter deviennent alors quatre manières complémentaires de maintenir cette question ouverte tout au long de la trajectoire du collectif. »</w:t>
      </w:r>
    </w:p>
    <w:p>
      <w:pPr>
        <w:keepNext w:val="0"/>
      </w:pPr>
      <w:r>
        <w:rPr>
          <w:sz w:val="20"/>
        </w:rPr>
        <w:t>Page 15 ; principe [NR DF / NP IE] ; discuté. Épreuve et laisse ouvert  A4.</w:t>
      </w:r>
    </w:p>
    <w:p>
      <w:pPr>
        <w:pStyle w:val="Heading2"/>
      </w:pPr>
      <w:r>
        <w:t>U86 Section 3</w:t>
      </w:r>
    </w:p>
    <w:p>
      <w:pPr>
        <w:keepNext/>
      </w:pPr>
      <w:r>
        <w:rPr>
          <w:sz w:val="20"/>
        </w:rPr>
        <w:t>Repère  « Revenir … habité. » ; 119 mots.</w:t>
      </w:r>
    </w:p>
    <w:p>
      <w:pPr>
        <w:keepNext/>
      </w:pPr>
      <w:r>
        <w:rPr>
          <w:i/>
        </w:rPr>
        <w:t>Argument principal  « Il s’agit de demander ce que l’expérimentation fait au milieu dans lequel elle prend place, à celles et ceux qui l’habitent, et aux relations dont leurs existences dépendent. »</w:t>
      </w:r>
    </w:p>
    <w:p>
      <w:pPr>
        <w:keepNext w:val="0"/>
      </w:pPr>
      <w:r>
        <w:rPr>
          <w:sz w:val="20"/>
        </w:rPr>
        <w:t>Page 15 ; principe [NR DF / NP IE] ; discuté. Épreuve et laisse ouvert  A4.</w:t>
      </w:r>
    </w:p>
    <w:p>
      <w:pPr>
        <w:pStyle w:val="Heading2"/>
      </w:pPr>
      <w:r>
        <w:t>U87 Section 3</w:t>
      </w:r>
    </w:p>
    <w:p>
      <w:pPr>
        <w:keepNext/>
      </w:pPr>
      <w:r>
        <w:rPr>
          <w:sz w:val="20"/>
        </w:rPr>
        <w:t>Repère  « Ce … répondre. » ; 87 mots.</w:t>
      </w:r>
    </w:p>
    <w:p>
      <w:pPr>
        <w:keepNext/>
      </w:pPr>
      <w:r>
        <w:rPr>
          <w:i/>
        </w:rPr>
        <w:t>Argument principal  « Tout cela est important, bien sur, mais la réussite, elle se joue aussi dans ce que le processus rend possible : des problèmes jusque-là dispersés peuvent être reliés, des expériences devenir discutables, des acteurs acquérir une légitimité nouvelle pour intervenir, des instruments devenir saisissables et des institutions être mises en situation de devoir répondre. »</w:t>
      </w:r>
    </w:p>
    <w:p>
      <w:pPr>
        <w:keepNext w:val="0"/>
      </w:pPr>
      <w:r>
        <w:rPr>
          <w:sz w:val="20"/>
        </w:rPr>
        <w:t>Page 15 ; méthode [NR AF / NP DF] ; discuté. Épreuve et laisse ouvert  A11.</w:t>
      </w:r>
    </w:p>
    <w:p>
      <w:pPr>
        <w:pStyle w:val="Heading2"/>
      </w:pPr>
      <w:r>
        <w:t>U88 Section 3</w:t>
      </w:r>
    </w:p>
    <w:p>
      <w:pPr>
        <w:keepNext/>
      </w:pPr>
      <w:r>
        <w:t>Unité lue  Le Living Lab devient opérant lorsqu’il contribue à redistribuer durablement les capacités de définir, d’éprouver, d’interpréter et de porter un problème, y compris au-delà du temps du projet, dans des arènes communes (dans et au-delà du Living lab). Le principal résultat d’un laboratoire habité pourrait alors être moins une solution qu’une trajectoire devenue consciente d’elle-même. Chemin faisant, le collectif apprend à regarder comment il fait ensemble, à quel rythme, selon quelles bifurcations, avec quelles exclusions et au nom de quels attachements. Se projeter dans l’avenir consiste alors à mettre le présent à l’épreuve de ce qu’il pourrait rendre possible ou irréversible.</w:t>
      </w:r>
    </w:p>
    <w:p>
      <w:pPr>
        <w:keepNext/>
      </w:pPr>
      <w:r>
        <w:rPr>
          <w:i/>
        </w:rPr>
        <w:t>Argument principal  « Le principal résultat d’un laboratoire habité pourrait alors être moins une solution qu’une trajectoire devenue consciente d’elle-même. »</w:t>
      </w:r>
    </w:p>
    <w:p>
      <w:pPr>
        <w:keepNext w:val="0"/>
      </w:pPr>
      <w:r>
        <w:rPr>
          <w:sz w:val="20"/>
        </w:rPr>
        <w:t>Page 16 ; conjecture [NR IF / NP DE] ; discuté. Épreuve et laisse ouvert  A12.</w:t>
      </w:r>
    </w:p>
    <w:p>
      <w:pPr>
        <w:pStyle w:val="Heading2"/>
      </w:pPr>
      <w:r>
        <w:t>U89 Section 3</w:t>
      </w:r>
    </w:p>
    <w:p>
      <w:pPr>
        <w:keepNext/>
      </w:pPr>
      <w:r>
        <w:rPr>
          <w:sz w:val="20"/>
        </w:rPr>
        <w:t>Repère  « Le … situations. » ; 82 mots.</w:t>
      </w:r>
    </w:p>
    <w:p>
      <w:pPr>
        <w:keepNext/>
      </w:pPr>
      <w:r>
        <w:rPr>
          <w:i/>
        </w:rPr>
        <w:t>Argument principal  « Le Living Lab doit pouvoir continuer à garantir cette faculté de réajustement : permettre au collectif de revenir sur ses choix, d’intégrer de nouvelles sollicitations et de redéfinir ce qu’il considère, provisoirement, comme une trajectoire juste. »</w:t>
      </w:r>
    </w:p>
    <w:p>
      <w:pPr>
        <w:keepNext w:val="0"/>
      </w:pPr>
      <w:r>
        <w:rPr>
          <w:sz w:val="20"/>
        </w:rPr>
        <w:t>Page 16 ; principe [NR DF / NP IE] ; discuté. Épreuve et laisse ouvert  A12.</w:t>
      </w:r>
    </w:p>
    <w:p>
      <w:pPr>
        <w:pStyle w:val="Heading2"/>
      </w:pPr>
      <w:r>
        <w:t>U90 Section 3</w:t>
      </w:r>
    </w:p>
    <w:p>
      <w:pPr>
        <w:keepNext/>
      </w:pPr>
      <w:r>
        <w:rPr>
          <w:sz w:val="20"/>
        </w:rPr>
        <w:t>Repère  « Partager … différents. » ; 49 mots.</w:t>
      </w:r>
    </w:p>
    <w:p>
      <w:pPr>
        <w:keepNext/>
      </w:pPr>
      <w:r>
        <w:rPr>
          <w:i/>
        </w:rPr>
        <w:t>Argument principal  « Partager pour croiser et enrichir les expériences dans leurs continuums, sans se focaliser uniquement sur le produit, mais en ayant pour objectif d’enrichir la trajectoire, en la faisant devenir une trajectoire partagée, mais aussi capable d’infuser, d’être reprise dans d’autres situations d’actions – pour donner, potentiellement, des résultats différents. »</w:t>
      </w:r>
    </w:p>
    <w:p>
      <w:pPr>
        <w:keepNext w:val="0"/>
      </w:pPr>
      <w:r>
        <w:rPr>
          <w:sz w:val="20"/>
        </w:rPr>
        <w:t>Page 16 ; conjecture [NR IF / NP DE] ; discuté. Épreuve et laisse ouvert  A12.</w:t>
      </w:r>
    </w:p>
    <w:p>
      <w:pPr>
        <w:pStyle w:val="Heading2"/>
      </w:pPr>
      <w:r>
        <w:t>U91 Section 3</w:t>
      </w:r>
    </w:p>
    <w:p>
      <w:pPr>
        <w:keepNext/>
      </w:pPr>
      <w:r>
        <w:rPr>
          <w:sz w:val="20"/>
        </w:rPr>
        <w:t>Repère  « Peut-être … commun. » ; 96 mots.</w:t>
      </w:r>
    </w:p>
    <w:p>
      <w:pPr>
        <w:keepNext/>
      </w:pPr>
      <w:r>
        <w:rPr>
          <w:i/>
        </w:rPr>
        <w:t>Argument principal  « Le défi des Living Labs pourrait alors être formulé autrement : non plus seulement comment transformer un territoire ?, mais comment devenir collectivement capables de répondre des transformations auxquelles nous prenons part ? »</w:t>
      </w:r>
    </w:p>
    <w:p>
      <w:pPr>
        <w:keepNext w:val="0"/>
      </w:pPr>
      <w:r>
        <w:rPr>
          <w:sz w:val="20"/>
        </w:rPr>
        <w:t>Page 16 ; principe [NR DF / NP IE] ; discuté. Épreuve et laisse ouvert  A13.</w:t>
      </w:r>
    </w:p>
    <w:p>
      <w:pPr>
        <w:pStyle w:val="Heading2"/>
      </w:pPr>
      <w:r>
        <w:t>U92 Section 3</w:t>
      </w:r>
    </w:p>
    <w:p>
      <w:pPr>
        <w:keepNext/>
      </w:pPr>
      <w:r>
        <w:rPr>
          <w:sz w:val="20"/>
        </w:rPr>
        <w:t>Repère  « La … digne. » ; 98 mots.</w:t>
      </w:r>
    </w:p>
    <w:p>
      <w:pPr>
        <w:keepNext/>
      </w:pPr>
      <w:r>
        <w:rPr>
          <w:i/>
        </w:rPr>
        <w:t>Argument principal  « L’habitabilité fournit ainsi un horizon normatif au Living Lab : non pas conserver le territoire dans un état idéal, mais maintenir ouvertes les conditions permettant d’y mener une vie digne. »</w:t>
      </w:r>
    </w:p>
    <w:p>
      <w:pPr>
        <w:keepNext w:val="0"/>
      </w:pPr>
      <w:r>
        <w:rPr>
          <w:sz w:val="20"/>
        </w:rPr>
        <w:t>Page 16 ; principe [NR DF / NP IE] ; discuté. Épreuve et laisse ouvert  A4.</w:t>
      </w:r>
    </w:p>
    <w:p>
      <w:pPr>
        <w:pStyle w:val="Heading1"/>
      </w:pPr>
      <w:r>
        <w:t>Annexe B Correspondance des unités et des arguments premiers</w:t>
      </w:r>
    </w:p>
    <w:tbl>
      <w:tblPr>
        <w:tblW w:type="auto" w:w="0"/>
        <w:tblLayout w:type="fixed"/>
        <w:tblLook w:firstColumn="1" w:firstRow="1" w:lastColumn="0" w:lastRow="0" w:noHBand="0" w:noVBand="1" w:val="04A0"/>
      </w:tblPr>
      <w:tblGrid>
        <w:gridCol w:w="1296"/>
        <w:gridCol w:w="4752"/>
        <w:gridCol w:w="3744"/>
      </w:tblGrid>
      <w:tr>
        <w:trPr>
          <w:cantSplit/>
          <w:tblHeader/>
        </w:trPr>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Argument</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Unités couvertes</w:t>
            </w:r>
          </w:p>
        </w:tc>
        <w:tc>
          <w:tcPr>
            <w:tcW w:type="dxa" w:w="326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shd w:fill="E7EDF2"/>
          </w:tcPr>
          <w:p>
            <w:pPr>
              <w:spacing w:after="20" w:line="240" w:lineRule="auto"/>
            </w:pPr>
            <w:r>
              <w:rPr>
                <w:b/>
                <w:color w:val="000000"/>
                <w:sz w:val="20"/>
              </w:rPr>
              <w:t>Termes du regroupement</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U01, U02, U03, U04, U06, U07</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problème, qualification, incertitude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A2</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U05, U14, U15, U17, U19, U20</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participation, question, bifurcation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A3</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U16, U24, U25</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égalité, légitimité, asymétrie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A4</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U08, U09, U10, U21, U22, U23, U84, U85, U86, U92</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dépendance, habitant, habitabilité</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A5</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U12, U30, U31, U32, U33, U34, U36, U44, U45, U56</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rigueur, souveraineté, protocole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A6</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U27, U28, U29</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connaissance, confiance, action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A7</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U42, U43, U54, U55, U57, U58, U59, U62, U63, U64, U65, U66, U67, U68, U72</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instrument, attention, question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A8</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U46, U47, U48, U49, U50, U51, U52, U53, U60, U61, U82, U83</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futur, inquiétude, incertitude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A9</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U73, U74, U75, U76, U77, U78</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écoute, traduction, essai, projection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A10</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U79, U80, U81</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coût, reprise, relation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A11</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U11, U37, U38, U87</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déprise, capacité, durée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A12</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U69, U70, U71, U88, U89, U90</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trajectoire, réflexivité, circulation</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A13</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U13, U18, U35, U39, U40, U41, U91</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responsabilité, sollicitation, conséquence</w:t>
            </w:r>
          </w:p>
        </w:tc>
      </w:tr>
      <w:tr>
        <w:trPr>
          <w:cantSplit/>
        </w:trPr>
        <w:tc>
          <w:tcPr>
            <w:tcW w:type="dxa" w:w="1296"/>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A14</w:t>
            </w:r>
          </w:p>
        </w:tc>
        <w:tc>
          <w:tcPr>
            <w:tcW w:type="dxa" w:w="4752"/>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U26</w:t>
            </w:r>
          </w:p>
        </w:tc>
        <w:tc>
          <w:tcPr>
            <w:tcW w:type="dxa" w:w="3744"/>
            <w:tcBorders>
              <w:top w:val="single" w:sz="4" w:color="D9D9D9"/>
              <w:bottom w:val="single" w:sz="4" w:color="D9D9D9"/>
              <w:left w:val="single" w:sz="4" w:color="D9D9D9"/>
              <w:right w:val="single" w:sz="4" w:color="D9D9D9"/>
            </w:tcBorders>
            <w:tcMar>
              <w:top w:w="70" w:type="dxa"/>
              <w:bottom w:w="70" w:type="dxa"/>
              <w:left w:w="100" w:type="dxa"/>
              <w:right w:w="100" w:type="dxa"/>
            </w:tcMar>
            <w:vAlign w:val="center"/>
          </w:tcPr>
          <w:p>
            <w:pPr>
              <w:spacing w:after="20" w:line="240" w:lineRule="auto"/>
            </w:pPr>
            <w:r>
              <w:rPr>
                <w:b w:val="0"/>
                <w:color w:val="000000"/>
                <w:sz w:val="20"/>
              </w:rPr>
              <w:t>confiance, délibération, frein</w:t>
            </w:r>
          </w:p>
        </w:tc>
      </w:tr>
    </w:tbl>
    <w:p>
      <w:pPr>
        <w:keepNext w:val="0"/>
      </w:pPr>
    </w:p>
    <w:p>
      <w:pPr>
        <w:keepNext w:val="0"/>
      </w:pPr>
      <w:r>
        <w:t>Contrôle de couverture  Les 92 unités sont présentes exactement une fois dans cette affectation principale. Les abstractions peuvent mobiliser plusieurs groupes ; elles n’effacent pas les différences de type et de portée entre les assertions.</w:t>
      </w:r>
    </w:p>
    <w:p>
      <w:pPr>
        <w:keepNext w:val="0"/>
      </w:pPr>
      <w:r>
        <w:t>Hypostases employées dans l’analyse  11 sur trente : problème 3, principe 21, donnée 3, hypothèse 17, définition 11, méthode 23, structure 2, conjecture 5, axiome 1, théorie 5, croyance 1. Ce nombre décrit la lecture ; il n’est pas un indicateur de qualité ou de réussite.</w:t>
      </w:r>
    </w:p>
    <w:sectPr w:rsidR="00FC693F" w:rsidRPr="0006063C" w:rsidSect="00034616">
      <w:headerReference w:type="default" r:id="rId9"/>
      <w:footerReference w:type="default" r:id="rId10"/>
      <w:pgSz w:w="12240" w:h="15840"/>
      <w:pgMar w:top="1080" w:right="1224" w:bottom="1037" w:left="122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HYPOSTASIA   ·   CARNET COMPLET DE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Carnet complet Hypostasia sur les laboratoires habités</dc:title>
  <dc:subject>Simulation à blanc de lecture du manuscrit selon le protocole Hypostasia version 3</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